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333DC" w14:textId="6010D691" w:rsidR="00F95AC3" w:rsidRPr="00CE0EAD" w:rsidRDefault="00F95AC3" w:rsidP="00F95AC3">
      <w:pPr>
        <w:pStyle w:val="Subtitle"/>
        <w:rPr>
          <w:rStyle w:val="BookTitle"/>
          <w:i w:val="0"/>
        </w:rPr>
      </w:pPr>
      <w:r w:rsidRPr="00CE0EAD">
        <w:rPr>
          <w:rStyle w:val="BookTitle"/>
          <w:i w:val="0"/>
        </w:rPr>
        <w:t>3GPP TSG RAN WG1 Meeting #</w:t>
      </w:r>
      <w:r>
        <w:rPr>
          <w:rStyle w:val="BookTitle"/>
          <w:i w:val="0"/>
        </w:rPr>
        <w:t>10</w:t>
      </w:r>
      <w:r w:rsidR="00267878">
        <w:rPr>
          <w:rStyle w:val="BookTitle"/>
          <w:i w:val="0"/>
        </w:rPr>
        <w:t>6</w:t>
      </w:r>
      <w:r>
        <w:rPr>
          <w:rStyle w:val="BookTitle"/>
          <w:i w:val="0"/>
        </w:rPr>
        <w:t xml:space="preserve">-e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00D94180">
        <w:rPr>
          <w:rStyle w:val="BookTitle"/>
          <w:i w:val="0"/>
        </w:rPr>
        <w:t xml:space="preserve"> </w:t>
      </w:r>
      <w:r w:rsidR="0001381F">
        <w:rPr>
          <w:rStyle w:val="BookTitle"/>
          <w:i w:val="0"/>
        </w:rPr>
        <w:t xml:space="preserve"> </w:t>
      </w:r>
      <w:r w:rsidRPr="00CE0EAD">
        <w:rPr>
          <w:rStyle w:val="BookTitle"/>
          <w:i w:val="0"/>
        </w:rPr>
        <w:t>R1-</w:t>
      </w:r>
      <w:r w:rsidR="00CD37A9" w:rsidRPr="00CD37A9">
        <w:rPr>
          <w:rStyle w:val="BookTitle"/>
          <w:i w:val="0"/>
        </w:rPr>
        <w:t>2</w:t>
      </w:r>
      <w:r w:rsidR="00B30EE7">
        <w:rPr>
          <w:rStyle w:val="BookTitle"/>
          <w:i w:val="0"/>
        </w:rPr>
        <w:t>1</w:t>
      </w:r>
      <w:r w:rsidR="00CD37A9" w:rsidRPr="00CD37A9">
        <w:rPr>
          <w:rStyle w:val="BookTitle"/>
          <w:i w:val="0"/>
        </w:rPr>
        <w:t>0</w:t>
      </w:r>
      <w:r w:rsidR="00267878">
        <w:rPr>
          <w:rStyle w:val="BookTitle"/>
          <w:i w:val="0"/>
        </w:rPr>
        <w:t>7365</w:t>
      </w:r>
    </w:p>
    <w:p w14:paraId="69093ED5" w14:textId="16A0F3C7" w:rsidR="00F95AC3" w:rsidRPr="00CE0EAD" w:rsidRDefault="00841237" w:rsidP="00F95AC3">
      <w:pPr>
        <w:pStyle w:val="Subtitle"/>
        <w:rPr>
          <w:rStyle w:val="BookTitle"/>
          <w:i w:val="0"/>
        </w:rPr>
      </w:pPr>
      <w:r>
        <w:rPr>
          <w:rStyle w:val="BookTitle"/>
          <w:i w:val="0"/>
        </w:rPr>
        <w:t>1</w:t>
      </w:r>
      <w:r w:rsidR="00267878">
        <w:rPr>
          <w:rStyle w:val="BookTitle"/>
          <w:i w:val="0"/>
        </w:rPr>
        <w:t>6</w:t>
      </w:r>
      <w:r w:rsidR="00A70198">
        <w:rPr>
          <w:rStyle w:val="BookTitle"/>
          <w:vertAlign w:val="superscript"/>
        </w:rPr>
        <w:t>th</w:t>
      </w:r>
      <w:r w:rsidR="00A70198">
        <w:rPr>
          <w:rStyle w:val="BookTitle"/>
        </w:rPr>
        <w:t xml:space="preserve"> </w:t>
      </w:r>
      <w:r w:rsidR="00267878">
        <w:rPr>
          <w:rStyle w:val="BookTitle"/>
          <w:i w:val="0"/>
        </w:rPr>
        <w:t>August</w:t>
      </w:r>
      <w:r w:rsidR="00A70198">
        <w:rPr>
          <w:rStyle w:val="BookTitle"/>
          <w:i w:val="0"/>
        </w:rPr>
        <w:t xml:space="preserve"> </w:t>
      </w:r>
      <w:r w:rsidR="00A70198">
        <w:rPr>
          <w:rStyle w:val="BookTitle"/>
        </w:rPr>
        <w:t xml:space="preserve">– </w:t>
      </w:r>
      <w:r>
        <w:rPr>
          <w:rStyle w:val="BookTitle"/>
        </w:rPr>
        <w:t>27</w:t>
      </w:r>
      <w:r w:rsidR="00A70198">
        <w:rPr>
          <w:rStyle w:val="BookTitle"/>
          <w:vertAlign w:val="superscript"/>
        </w:rPr>
        <w:t>th</w:t>
      </w:r>
      <w:r w:rsidR="00A70198">
        <w:rPr>
          <w:rStyle w:val="BookTitle"/>
        </w:rPr>
        <w:t xml:space="preserve"> </w:t>
      </w:r>
      <w:r w:rsidR="00267878">
        <w:rPr>
          <w:rStyle w:val="BookTitle"/>
          <w:i w:val="0"/>
        </w:rPr>
        <w:t>August</w:t>
      </w:r>
      <w:r w:rsidR="00A70198">
        <w:rPr>
          <w:rStyle w:val="BookTitle"/>
        </w:rPr>
        <w:t xml:space="preserve"> </w:t>
      </w:r>
      <w:r w:rsidR="00A70198" w:rsidRPr="002F0F57">
        <w:rPr>
          <w:rStyle w:val="BookTitle"/>
          <w:i w:val="0"/>
          <w:iCs w:val="0"/>
        </w:rPr>
        <w:t>202</w:t>
      </w:r>
      <w:r w:rsidR="00A70198">
        <w:rPr>
          <w:rStyle w:val="BookTitle"/>
          <w:i w:val="0"/>
          <w:iCs w:val="0"/>
        </w:rPr>
        <w:t>1</w:t>
      </w:r>
    </w:p>
    <w:p w14:paraId="22BC6F43"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8.10.1</w:t>
      </w:r>
    </w:p>
    <w:p w14:paraId="320516D0"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0848E94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E03EA0">
        <w:rPr>
          <w:rStyle w:val="SubtitleChar"/>
        </w:rPr>
        <w:t>Re</w:t>
      </w:r>
      <w:r w:rsidR="00706194">
        <w:rPr>
          <w:rStyle w:val="SubtitleChar"/>
        </w:rPr>
        <w:t>source management for enhanced duplexing</w:t>
      </w:r>
    </w:p>
    <w:p w14:paraId="70292539"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6BAE8EAC" w14:textId="77777777" w:rsidR="00D90B3F" w:rsidRDefault="00D90B3F" w:rsidP="00D90B3F">
      <w:pPr>
        <w:pStyle w:val="Heading2"/>
      </w:pPr>
      <w:r>
        <w:t xml:space="preserve">1. </w:t>
      </w:r>
      <w:r w:rsidRPr="0044654D">
        <w:t>Introduction</w:t>
      </w:r>
    </w:p>
    <w:p w14:paraId="22A44C34" w14:textId="77777777" w:rsidR="00D90B3F" w:rsidRDefault="00D90B3F" w:rsidP="00D90B3F">
      <w:r>
        <w:t xml:space="preserve">This contribution provides our view on the IAB resource management framework in the context of the Rel-17 IAB WID [1] objectives.     </w:t>
      </w:r>
    </w:p>
    <w:p w14:paraId="140C3A24" w14:textId="77777777" w:rsidR="00D90B3F" w:rsidRDefault="00D90B3F" w:rsidP="00D90B3F">
      <w:pPr>
        <w:pStyle w:val="Heading2"/>
      </w:pPr>
      <w:bookmarkStart w:id="0" w:name="_Hlk32401284"/>
      <w:bookmarkStart w:id="1" w:name="_Hlk24102609"/>
      <w:r>
        <w:t xml:space="preserve">2. </w:t>
      </w:r>
      <w:r w:rsidRPr="00431F86">
        <w:t xml:space="preserve">Extension of </w:t>
      </w:r>
      <w:r>
        <w:t>r</w:t>
      </w:r>
      <w:r w:rsidRPr="00431F86">
        <w:t xml:space="preserve">esource </w:t>
      </w:r>
      <w:r>
        <w:t>m</w:t>
      </w:r>
      <w:r w:rsidRPr="00431F86">
        <w:t xml:space="preserve">anagement to </w:t>
      </w:r>
      <w:r>
        <w:t>f</w:t>
      </w:r>
      <w:r w:rsidRPr="00431F86">
        <w:t xml:space="preserve">requency </w:t>
      </w:r>
      <w:r>
        <w:t>d</w:t>
      </w:r>
      <w:r w:rsidRPr="00431F86">
        <w:t>omain</w:t>
      </w:r>
    </w:p>
    <w:bookmarkEnd w:id="0"/>
    <w:bookmarkEnd w:id="1"/>
    <w:p w14:paraId="341F22FD" w14:textId="77777777" w:rsidR="00D90B3F" w:rsidRDefault="00D90B3F" w:rsidP="00D90B3F">
      <w:pPr>
        <w:jc w:val="both"/>
      </w:pPr>
      <w:r>
        <w:t xml:space="preserve">The following agreements have been made in RAN1-105e [2] regarding further discussion on extending Rel-16 resource management framework to frequency domain. </w:t>
      </w:r>
    </w:p>
    <w:tbl>
      <w:tblPr>
        <w:tblStyle w:val="TableGrid"/>
        <w:tblW w:w="0" w:type="auto"/>
        <w:tblLook w:val="04A0" w:firstRow="1" w:lastRow="0" w:firstColumn="1" w:lastColumn="0" w:noHBand="0" w:noVBand="1"/>
      </w:tblPr>
      <w:tblGrid>
        <w:gridCol w:w="9629"/>
      </w:tblGrid>
      <w:tr w:rsidR="00D90B3F" w14:paraId="51CF8764" w14:textId="77777777" w:rsidTr="00F7095E">
        <w:tc>
          <w:tcPr>
            <w:tcW w:w="9629" w:type="dxa"/>
          </w:tcPr>
          <w:p w14:paraId="298E0852" w14:textId="77777777" w:rsidR="00D90B3F" w:rsidRDefault="00D90B3F" w:rsidP="00F7095E">
            <w:pPr>
              <w:spacing w:after="0"/>
              <w:jc w:val="both"/>
              <w:rPr>
                <w:lang w:eastAsia="x-none"/>
              </w:rPr>
            </w:pPr>
            <w:r w:rsidRPr="006A78E4">
              <w:rPr>
                <w:highlight w:val="green"/>
                <w:lang w:eastAsia="x-none"/>
              </w:rPr>
              <w:t>Agreement</w:t>
            </w:r>
            <w:r w:rsidRPr="006A78E4">
              <w:rPr>
                <w:lang w:eastAsia="x-none"/>
              </w:rPr>
              <w:t>:</w:t>
            </w:r>
          </w:p>
          <w:p w14:paraId="48E20569" w14:textId="77777777" w:rsidR="00D90B3F" w:rsidRPr="00286792" w:rsidRDefault="00D90B3F" w:rsidP="00F7095E">
            <w:pPr>
              <w:jc w:val="both"/>
              <w:rPr>
                <w:lang w:eastAsia="x-none"/>
              </w:rPr>
            </w:pPr>
            <w:r w:rsidRPr="00B32BF4">
              <w:rPr>
                <w:lang w:eastAsia="x-none"/>
              </w:rPr>
              <w:t>For frequency domain multiplexing, H/S/NA configurations for an IAB-node are provided separately in addition to the Rel-16 H/S/NA</w:t>
            </w:r>
          </w:p>
          <w:p w14:paraId="21F65BE5" w14:textId="77777777" w:rsidR="00D90B3F" w:rsidRDefault="00D90B3F" w:rsidP="00F7095E">
            <w:pPr>
              <w:spacing w:after="0"/>
              <w:jc w:val="both"/>
              <w:rPr>
                <w:lang w:eastAsia="x-none"/>
              </w:rPr>
            </w:pPr>
            <w:r w:rsidRPr="00DB0183">
              <w:rPr>
                <w:highlight w:val="green"/>
                <w:lang w:eastAsia="x-none"/>
              </w:rPr>
              <w:t>Agreement</w:t>
            </w:r>
            <w:r w:rsidRPr="005F340C">
              <w:rPr>
                <w:highlight w:val="green"/>
                <w:lang w:eastAsia="x-none"/>
              </w:rPr>
              <w:t>:</w:t>
            </w:r>
          </w:p>
          <w:p w14:paraId="0330365D" w14:textId="77777777" w:rsidR="00D90B3F" w:rsidRPr="009C63EF" w:rsidRDefault="00D90B3F" w:rsidP="00F7095E">
            <w:pPr>
              <w:spacing w:after="0"/>
              <w:jc w:val="both"/>
              <w:rPr>
                <w:lang w:val="en-US" w:eastAsia="x-none"/>
              </w:rPr>
            </w:pPr>
            <w:r w:rsidRPr="009C63EF">
              <w:rPr>
                <w:lang w:val="en-US" w:eastAsia="x-none"/>
              </w:rPr>
              <w:t>If an IAB node is configured with a frequency-domain H/S/NA configuration down select between the following options:</w:t>
            </w:r>
          </w:p>
          <w:p w14:paraId="6BA23CEA" w14:textId="77777777" w:rsidR="00D90B3F" w:rsidRPr="009C63EF" w:rsidRDefault="00D90B3F" w:rsidP="003806DE">
            <w:pPr>
              <w:numPr>
                <w:ilvl w:val="0"/>
                <w:numId w:val="2"/>
              </w:numPr>
              <w:spacing w:after="0"/>
              <w:jc w:val="both"/>
              <w:rPr>
                <w:lang w:val="en-US" w:eastAsia="x-none"/>
              </w:rPr>
            </w:pPr>
            <w:r w:rsidRPr="009C63EF">
              <w:rPr>
                <w:lang w:val="en-US" w:eastAsia="x-none"/>
              </w:rPr>
              <w:t>Alt. 1 Either the Rel-16 H/S/NA configuration or frequency domain configuration is applied for a given resource</w:t>
            </w:r>
          </w:p>
          <w:p w14:paraId="4A07C084" w14:textId="77777777" w:rsidR="00D90B3F" w:rsidRDefault="00D90B3F" w:rsidP="003806DE">
            <w:pPr>
              <w:numPr>
                <w:ilvl w:val="1"/>
                <w:numId w:val="2"/>
              </w:numPr>
              <w:spacing w:after="0"/>
              <w:jc w:val="both"/>
              <w:rPr>
                <w:lang w:val="en-US" w:eastAsia="x-none"/>
              </w:rPr>
            </w:pPr>
            <w:r w:rsidRPr="009C63EF">
              <w:rPr>
                <w:lang w:val="en-US" w:eastAsia="x-none"/>
              </w:rPr>
              <w:t>FFS: Whether configurations are switched with per-slot, per-resource type within a slot, or per-symbol granularity</w:t>
            </w:r>
          </w:p>
          <w:p w14:paraId="26715AE7" w14:textId="77777777" w:rsidR="00D90B3F" w:rsidRPr="009C63EF" w:rsidRDefault="00D90B3F" w:rsidP="003806DE">
            <w:pPr>
              <w:numPr>
                <w:ilvl w:val="0"/>
                <w:numId w:val="2"/>
              </w:numPr>
              <w:spacing w:after="0"/>
              <w:jc w:val="both"/>
              <w:rPr>
                <w:lang w:val="en-US" w:eastAsia="x-none"/>
              </w:rPr>
            </w:pPr>
            <w:r w:rsidRPr="009C63EF">
              <w:rPr>
                <w:lang w:val="en-US" w:eastAsia="x-none"/>
              </w:rPr>
              <w:t>Alt. 2 The Rel-16 H/S/NA configuration and frequency domain configuration are jointly applied</w:t>
            </w:r>
          </w:p>
          <w:p w14:paraId="65B90650" w14:textId="77777777" w:rsidR="00D90B3F" w:rsidRDefault="00D90B3F" w:rsidP="00F7095E">
            <w:pPr>
              <w:spacing w:after="0"/>
              <w:jc w:val="both"/>
              <w:rPr>
                <w:b/>
                <w:bCs/>
                <w:lang w:eastAsia="x-none"/>
              </w:rPr>
            </w:pPr>
          </w:p>
          <w:p w14:paraId="06342653" w14:textId="77777777" w:rsidR="00D90B3F" w:rsidRPr="00DD4803" w:rsidRDefault="00D90B3F" w:rsidP="00F7095E">
            <w:pPr>
              <w:spacing w:after="0"/>
              <w:jc w:val="both"/>
              <w:rPr>
                <w:lang w:eastAsia="x-none"/>
              </w:rPr>
            </w:pPr>
            <w:r w:rsidRPr="00DD4803">
              <w:rPr>
                <w:highlight w:val="green"/>
                <w:lang w:eastAsia="x-none"/>
              </w:rPr>
              <w:t>Agreement</w:t>
            </w:r>
            <w:r>
              <w:rPr>
                <w:lang w:eastAsia="x-none"/>
              </w:rPr>
              <w:t>:</w:t>
            </w:r>
          </w:p>
          <w:p w14:paraId="19AEE9EA" w14:textId="77777777" w:rsidR="00D90B3F" w:rsidRPr="00580D27" w:rsidRDefault="00D90B3F" w:rsidP="00F7095E">
            <w:pPr>
              <w:spacing w:after="0"/>
              <w:jc w:val="both"/>
              <w:rPr>
                <w:lang w:val="en-US" w:eastAsia="x-none"/>
              </w:rPr>
            </w:pPr>
            <w:r w:rsidRPr="00580D27">
              <w:rPr>
                <w:lang w:eastAsia="x-none"/>
              </w:rPr>
              <w:t>The minimum resource size for configuring the frequency domain granularity is a set of N RBs:</w:t>
            </w:r>
          </w:p>
          <w:p w14:paraId="66506C7B" w14:textId="77777777" w:rsidR="00D90B3F" w:rsidRPr="00580D27" w:rsidRDefault="00D90B3F" w:rsidP="003806DE">
            <w:pPr>
              <w:numPr>
                <w:ilvl w:val="0"/>
                <w:numId w:val="3"/>
              </w:numPr>
              <w:spacing w:after="0"/>
              <w:jc w:val="both"/>
              <w:rPr>
                <w:lang w:val="en-US" w:eastAsia="x-none"/>
              </w:rPr>
            </w:pPr>
            <w:r w:rsidRPr="00580D27">
              <w:rPr>
                <w:lang w:eastAsia="x-none"/>
              </w:rPr>
              <w:t>Candidate values for N: {4, 8, 16, other values TBD}</w:t>
            </w:r>
          </w:p>
          <w:p w14:paraId="365E868C" w14:textId="77777777" w:rsidR="00D90B3F" w:rsidRPr="00580D27" w:rsidRDefault="00D90B3F" w:rsidP="003806DE">
            <w:pPr>
              <w:numPr>
                <w:ilvl w:val="0"/>
                <w:numId w:val="3"/>
              </w:numPr>
              <w:spacing w:after="0"/>
              <w:jc w:val="both"/>
              <w:rPr>
                <w:lang w:val="en-US" w:eastAsia="x-none"/>
              </w:rPr>
            </w:pPr>
            <w:r w:rsidRPr="00580D27">
              <w:rPr>
                <w:lang w:eastAsia="x-none"/>
              </w:rPr>
              <w:t>N is at least the # PRBs that are corresponding to the MT’s # PRBs of an RBG).</w:t>
            </w:r>
          </w:p>
          <w:p w14:paraId="635C76DC" w14:textId="77777777" w:rsidR="00D90B3F" w:rsidRPr="00580D27" w:rsidRDefault="00D90B3F" w:rsidP="003806DE">
            <w:pPr>
              <w:numPr>
                <w:ilvl w:val="0"/>
                <w:numId w:val="3"/>
              </w:numPr>
              <w:spacing w:after="0"/>
              <w:jc w:val="both"/>
              <w:rPr>
                <w:lang w:val="en-US" w:eastAsia="x-none"/>
              </w:rPr>
            </w:pPr>
            <w:r w:rsidRPr="00580D27">
              <w:rPr>
                <w:lang w:eastAsia="x-none"/>
              </w:rPr>
              <w:t>FFS: Scaling or configuration of N based on system BW or size of IAB-MT BWP</w:t>
            </w:r>
          </w:p>
          <w:p w14:paraId="6D48B321" w14:textId="77777777" w:rsidR="00D90B3F" w:rsidRDefault="00D90B3F" w:rsidP="00F7095E">
            <w:pPr>
              <w:spacing w:after="0"/>
              <w:jc w:val="both"/>
              <w:rPr>
                <w:lang w:eastAsia="x-none"/>
              </w:rPr>
            </w:pPr>
          </w:p>
          <w:p w14:paraId="190CF7B2" w14:textId="77777777" w:rsidR="00D90B3F" w:rsidRPr="00DD4803" w:rsidRDefault="00D90B3F" w:rsidP="00F7095E">
            <w:pPr>
              <w:spacing w:after="0"/>
              <w:jc w:val="both"/>
              <w:rPr>
                <w:lang w:eastAsia="x-none"/>
              </w:rPr>
            </w:pPr>
            <w:r w:rsidRPr="00DD4803">
              <w:rPr>
                <w:highlight w:val="green"/>
                <w:lang w:eastAsia="x-none"/>
              </w:rPr>
              <w:t>Agreement</w:t>
            </w:r>
            <w:r>
              <w:rPr>
                <w:lang w:eastAsia="x-none"/>
              </w:rPr>
              <w:t>:</w:t>
            </w:r>
          </w:p>
          <w:p w14:paraId="21872123" w14:textId="77777777" w:rsidR="00D90B3F" w:rsidRPr="009026A4" w:rsidRDefault="00D90B3F" w:rsidP="00F7095E">
            <w:pPr>
              <w:spacing w:after="0"/>
              <w:jc w:val="both"/>
              <w:rPr>
                <w:lang w:val="en-US" w:eastAsia="x-none"/>
              </w:rPr>
            </w:pPr>
            <w:r w:rsidRPr="009026A4">
              <w:rPr>
                <w:lang w:eastAsia="x-none"/>
              </w:rPr>
              <w:t>DCI Format 2_5 is reused to support soft resource availability indications for frequency-domain resources</w:t>
            </w:r>
          </w:p>
          <w:p w14:paraId="580EFB67" w14:textId="77777777" w:rsidR="00D90B3F" w:rsidRPr="009026A4" w:rsidRDefault="00D90B3F" w:rsidP="003806DE">
            <w:pPr>
              <w:pStyle w:val="ListParagraph"/>
              <w:numPr>
                <w:ilvl w:val="0"/>
                <w:numId w:val="4"/>
              </w:numPr>
              <w:spacing w:after="0"/>
              <w:jc w:val="both"/>
              <w:rPr>
                <w:lang w:val="en-US" w:eastAsia="x-none"/>
              </w:rPr>
            </w:pPr>
            <w:r w:rsidRPr="009026A4">
              <w:rPr>
                <w:lang w:eastAsia="x-none"/>
              </w:rPr>
              <w:t>FFS: If additional enhancements are necessary</w:t>
            </w:r>
          </w:p>
        </w:tc>
      </w:tr>
    </w:tbl>
    <w:p w14:paraId="2189F387" w14:textId="77777777" w:rsidR="00D90B3F" w:rsidRDefault="00D90B3F" w:rsidP="00D90B3F">
      <w:pPr>
        <w:spacing w:after="120"/>
      </w:pPr>
    </w:p>
    <w:p w14:paraId="4450409C" w14:textId="795957F2" w:rsidR="00D90B3F" w:rsidRDefault="00D90B3F" w:rsidP="00D90B3F">
      <w:pPr>
        <w:rPr>
          <w:lang w:val="en-US"/>
        </w:rPr>
      </w:pPr>
      <w:r>
        <w:rPr>
          <w:lang w:val="en-US"/>
        </w:rPr>
        <w:t xml:space="preserve">In RAN1-105e, it is agreed that the Rel-17 frequency-domain multiplexing configuration should be down selected between Alt1 and Alt2. Alt1 is defined as a scheme that switches between the Rel-16 H/S/NA configuration and the frequency-domain configuration with a granularity to be determined as per-slot, per-resource type within a slot, or per-symbol. Alt2 is defined as a scheme wherein the Rel-16 H/S/NA configuration and frequency-domain configuration are jointly applied. It can be seen that Alt2 is more general than Alt1 in the sense that the dynamic switch between configurations can be viewed as one specific scheme within the general scheme space of joint application. To help with down-selection, we further suggest </w:t>
      </w:r>
      <w:r w:rsidR="00F21745">
        <w:rPr>
          <w:lang w:val="en-US"/>
        </w:rPr>
        <w:t>clarifying</w:t>
      </w:r>
      <w:r>
        <w:rPr>
          <w:lang w:val="en-US"/>
        </w:rPr>
        <w:t xml:space="preserve"> whether the frequency-domain configuration in Alt1 and Alt2 refers to a configuration defined in frequency-domain only or a configuration defined in time-frequency grid.     </w:t>
      </w:r>
    </w:p>
    <w:p w14:paraId="55CB6DD9" w14:textId="77777777" w:rsidR="00D90B3F" w:rsidRDefault="00D90B3F" w:rsidP="00D90B3F">
      <w:pPr>
        <w:rPr>
          <w:b/>
          <w:bCs/>
          <w:u w:val="single"/>
          <w:lang w:eastAsia="zh-CN"/>
        </w:rPr>
      </w:pPr>
      <w:r w:rsidRPr="00D24022">
        <w:rPr>
          <w:b/>
          <w:bCs/>
          <w:u w:val="single"/>
          <w:lang w:eastAsia="zh-CN"/>
        </w:rPr>
        <w:t>Observation</w:t>
      </w:r>
      <w:r>
        <w:rPr>
          <w:b/>
          <w:bCs/>
          <w:u w:val="single"/>
          <w:lang w:eastAsia="zh-CN"/>
        </w:rPr>
        <w:t xml:space="preserve"> 2.1</w:t>
      </w:r>
      <w:r w:rsidRPr="00D24022">
        <w:rPr>
          <w:b/>
          <w:bCs/>
          <w:u w:val="single"/>
          <w:lang w:eastAsia="zh-CN"/>
        </w:rPr>
        <w:t>:</w:t>
      </w:r>
    </w:p>
    <w:p w14:paraId="7841FB1D" w14:textId="77777777" w:rsidR="00D90B3F" w:rsidRDefault="00D90B3F" w:rsidP="00D90B3F">
      <w:pPr>
        <w:rPr>
          <w:b/>
          <w:bCs/>
        </w:rPr>
      </w:pPr>
      <w:r>
        <w:rPr>
          <w:b/>
          <w:bCs/>
        </w:rPr>
        <w:t xml:space="preserve">For frequency domain multiplexing, </w:t>
      </w:r>
      <w:r w:rsidRPr="00B46198">
        <w:rPr>
          <w:b/>
          <w:bCs/>
        </w:rPr>
        <w:t xml:space="preserve">Alt1 can be viewed as a special case of Alt2, where switching between configurations </w:t>
      </w:r>
      <w:r>
        <w:rPr>
          <w:b/>
          <w:bCs/>
        </w:rPr>
        <w:t xml:space="preserve">is </w:t>
      </w:r>
      <w:r w:rsidRPr="00B46198">
        <w:rPr>
          <w:b/>
          <w:bCs/>
        </w:rPr>
        <w:t>one specific scheme within the general space of joint application.</w:t>
      </w:r>
    </w:p>
    <w:p w14:paraId="288F9B29" w14:textId="77777777" w:rsidR="004F1D17" w:rsidRDefault="004F1D17" w:rsidP="00D90B3F">
      <w:pPr>
        <w:rPr>
          <w:b/>
          <w:bCs/>
          <w:u w:val="single"/>
          <w:lang w:eastAsia="zh-CN"/>
        </w:rPr>
      </w:pPr>
    </w:p>
    <w:p w14:paraId="164B8D36" w14:textId="07F3A1B7" w:rsidR="00D90B3F" w:rsidRDefault="00D90B3F" w:rsidP="00D90B3F">
      <w:pPr>
        <w:rPr>
          <w:b/>
          <w:bCs/>
          <w:u w:val="single"/>
          <w:lang w:eastAsia="zh-CN"/>
        </w:rPr>
      </w:pPr>
      <w:r>
        <w:rPr>
          <w:b/>
          <w:bCs/>
          <w:u w:val="single"/>
          <w:lang w:eastAsia="zh-CN"/>
        </w:rPr>
        <w:lastRenderedPageBreak/>
        <w:t>Proposal 2.1</w:t>
      </w:r>
      <w:r w:rsidRPr="00D24022">
        <w:rPr>
          <w:b/>
          <w:bCs/>
          <w:u w:val="single"/>
          <w:lang w:eastAsia="zh-CN"/>
        </w:rPr>
        <w:t>:</w:t>
      </w:r>
    </w:p>
    <w:p w14:paraId="6B7505E4" w14:textId="77777777" w:rsidR="00D90B3F" w:rsidRPr="00361916" w:rsidRDefault="00D90B3F" w:rsidP="00D90B3F">
      <w:pPr>
        <w:rPr>
          <w:b/>
          <w:bCs/>
          <w:lang w:val="en-US"/>
        </w:rPr>
      </w:pPr>
      <w:r w:rsidRPr="00361916">
        <w:rPr>
          <w:b/>
          <w:bCs/>
        </w:rPr>
        <w:t>To help with down-selection for frequency</w:t>
      </w:r>
      <w:r>
        <w:rPr>
          <w:b/>
          <w:bCs/>
        </w:rPr>
        <w:t xml:space="preserve"> </w:t>
      </w:r>
      <w:r w:rsidRPr="00361916">
        <w:rPr>
          <w:b/>
          <w:bCs/>
        </w:rPr>
        <w:t>domain multiplexing, clarify whether the frequency</w:t>
      </w:r>
      <w:r>
        <w:rPr>
          <w:b/>
          <w:bCs/>
        </w:rPr>
        <w:t xml:space="preserve"> </w:t>
      </w:r>
      <w:r w:rsidRPr="00361916">
        <w:rPr>
          <w:b/>
          <w:bCs/>
        </w:rPr>
        <w:t xml:space="preserve">domain configuration </w:t>
      </w:r>
      <w:r>
        <w:rPr>
          <w:b/>
          <w:bCs/>
        </w:rPr>
        <w:t xml:space="preserve">in Alt1 and Alt2 </w:t>
      </w:r>
      <w:r w:rsidRPr="00361916">
        <w:rPr>
          <w:b/>
          <w:bCs/>
        </w:rPr>
        <w:t>refers to a configuration in frequency-domain only or a configuration in time-frequency grid.</w:t>
      </w:r>
    </w:p>
    <w:p w14:paraId="036FDB4A" w14:textId="77777777" w:rsidR="00D90B3F" w:rsidRDefault="00D90B3F" w:rsidP="00D90B3F">
      <w:pPr>
        <w:rPr>
          <w:lang w:val="en-US"/>
        </w:rPr>
      </w:pPr>
      <w:r>
        <w:rPr>
          <w:lang w:val="en-US"/>
        </w:rPr>
        <w:t xml:space="preserve">To define Rel-17 configuration for frequency-domain multiplexing, it is desirable to have a configuration that can provide sufficient flexibility for common use cases with reasonable cost in term of signaling overhead and specification efforts. With all these considerations, we propose to support an </w:t>
      </w:r>
      <w:r w:rsidRPr="00020E28">
        <w:rPr>
          <w:i/>
          <w:iCs/>
          <w:lang w:val="en-US"/>
        </w:rPr>
        <w:t>RB-set based H/S/NA time-domain configuration</w:t>
      </w:r>
      <w:r>
        <w:rPr>
          <w:lang w:val="en-US"/>
        </w:rPr>
        <w:t xml:space="preserve"> within the general scheme space of Alt2, where </w:t>
      </w:r>
    </w:p>
    <w:p w14:paraId="753C693E" w14:textId="77777777" w:rsidR="00D90B3F" w:rsidRDefault="00D90B3F" w:rsidP="003806DE">
      <w:pPr>
        <w:pStyle w:val="ListParagraph"/>
        <w:numPr>
          <w:ilvl w:val="0"/>
          <w:numId w:val="4"/>
        </w:numPr>
      </w:pPr>
      <w:r>
        <w:t xml:space="preserve">The </w:t>
      </w:r>
      <w:r w:rsidRPr="00171520">
        <w:t xml:space="preserve">frequency-domain configuration defines partition of frequency-domain into multiple RB-sets, and each RB-set consists of a number of consecutive PRBs. </w:t>
      </w:r>
    </w:p>
    <w:p w14:paraId="299E54AE" w14:textId="77777777" w:rsidR="00D90B3F" w:rsidRPr="007756FA" w:rsidRDefault="00D90B3F" w:rsidP="003806DE">
      <w:pPr>
        <w:pStyle w:val="ListParagraph"/>
        <w:numPr>
          <w:ilvl w:val="0"/>
          <w:numId w:val="4"/>
        </w:numPr>
      </w:pPr>
      <w:r w:rsidRPr="00622E88">
        <w:rPr>
          <w:lang w:val="en-US"/>
        </w:rPr>
        <w:t>The Rel-16 H/S/NA configuration is applied within each RB-set, where independent time-domain H/S/NA patterns can be applied for different RB-sets.</w:t>
      </w:r>
    </w:p>
    <w:p w14:paraId="3A235314" w14:textId="77777777" w:rsidR="00D90B3F" w:rsidRPr="0046776F" w:rsidRDefault="00D90B3F" w:rsidP="00D90B3F">
      <w:r>
        <w:t xml:space="preserve">The proposed scheme is illustrated in Fig.1. It can be seen that the proposed scheme provides a good trade-off between configuration flexibility and signalling overhead. Furthermore, the proposed scheme is built on top of existing Rel-16 H/S/NA configuration to save efforts for specification changes. </w:t>
      </w:r>
      <w:r>
        <w:rPr>
          <w:lang w:val="en-US"/>
        </w:rPr>
        <w:t xml:space="preserve">In Rel-16, the H/S/NA resource pattern is configured for a DU cell via </w:t>
      </w:r>
      <w:proofErr w:type="spellStart"/>
      <w:r w:rsidRPr="00252D9F">
        <w:rPr>
          <w:i/>
          <w:iCs/>
          <w:lang w:val="en-US"/>
        </w:rPr>
        <w:t>gNB</w:t>
      </w:r>
      <w:proofErr w:type="spellEnd"/>
      <w:r w:rsidRPr="00252D9F">
        <w:rPr>
          <w:i/>
          <w:iCs/>
          <w:lang w:val="en-US"/>
        </w:rPr>
        <w:t>-DU cell resource configuration IE</w:t>
      </w:r>
      <w:r>
        <w:rPr>
          <w:lang w:val="en-US"/>
        </w:rPr>
        <w:t xml:space="preserve"> defined in TS38.473[3], where at most 1 configuration item for H/S/NA pattern is included in a configuration list. It can be seen that this IE can be easily extended to support FDM within a CC by extending the configuration list to multiple configuration items, with each item associated with one RB set as shown in Fig.1. To provide sufficient flexibility, we propose to support configuration of each RB set with a starting location and number of consecutive PRBs, so that each RB set may or may not have the same size. To minimize impact of resource fragmentation in frequency-domain to a set of control signals that are critical for system performance, such as SSB, Type0-PDCCH, periodic CSI-RS, PRACH, SR, exception rules can also be extended to frequency-domain, e.g. an RB set at a symbol with overlapping resources with any of control signals defined in this set shall be treated as “Hard”.     </w:t>
      </w:r>
    </w:p>
    <w:p w14:paraId="7837051F" w14:textId="77777777" w:rsidR="00D90B3F" w:rsidRDefault="00D90B3F" w:rsidP="00D90B3F">
      <w:pPr>
        <w:jc w:val="center"/>
      </w:pPr>
      <w:r>
        <w:rPr>
          <w:noProof/>
        </w:rPr>
        <w:drawing>
          <wp:inline distT="0" distB="0" distL="0" distR="0" wp14:anchorId="33B1107C" wp14:editId="2AD232E6">
            <wp:extent cx="5984240" cy="1936662"/>
            <wp:effectExtent l="0" t="0" r="0" b="698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4214" cy="1939890"/>
                    </a:xfrm>
                    <a:prstGeom prst="rect">
                      <a:avLst/>
                    </a:prstGeom>
                    <a:noFill/>
                  </pic:spPr>
                </pic:pic>
              </a:graphicData>
            </a:graphic>
          </wp:inline>
        </w:drawing>
      </w:r>
    </w:p>
    <w:p w14:paraId="71CC74D0" w14:textId="77777777" w:rsidR="00D90B3F" w:rsidRPr="00BE6F14" w:rsidRDefault="00D90B3F" w:rsidP="00D90B3F">
      <w:pPr>
        <w:jc w:val="center"/>
        <w:rPr>
          <w:b/>
          <w:bCs/>
        </w:rPr>
      </w:pPr>
      <w:r w:rsidRPr="00BE6F14">
        <w:rPr>
          <w:b/>
          <w:bCs/>
        </w:rPr>
        <w:t>Fig.</w:t>
      </w:r>
      <w:r>
        <w:rPr>
          <w:b/>
          <w:bCs/>
        </w:rPr>
        <w:t xml:space="preserve">1 Illustration of semi-static configuration of DU resource type per RB set  </w:t>
      </w:r>
    </w:p>
    <w:p w14:paraId="4BAA47D2" w14:textId="77777777" w:rsidR="00D90B3F" w:rsidRDefault="00D90B3F" w:rsidP="00D90B3F">
      <w:pPr>
        <w:rPr>
          <w:b/>
          <w:bCs/>
          <w:u w:val="single"/>
          <w:lang w:eastAsia="zh-CN"/>
        </w:rPr>
      </w:pPr>
      <w:r>
        <w:rPr>
          <w:b/>
          <w:bCs/>
          <w:u w:val="single"/>
          <w:lang w:eastAsia="zh-CN"/>
        </w:rPr>
        <w:t>Proposal 2.2</w:t>
      </w:r>
      <w:r w:rsidRPr="00D24022">
        <w:rPr>
          <w:b/>
          <w:bCs/>
          <w:u w:val="single"/>
          <w:lang w:eastAsia="zh-CN"/>
        </w:rPr>
        <w:t>:</w:t>
      </w:r>
    </w:p>
    <w:p w14:paraId="5E9231A8" w14:textId="77777777" w:rsidR="00D90B3F" w:rsidRDefault="00D90B3F" w:rsidP="00D90B3F">
      <w:pPr>
        <w:rPr>
          <w:b/>
          <w:bCs/>
          <w:lang w:val="en-US"/>
        </w:rPr>
      </w:pPr>
      <w:r w:rsidRPr="0036755A">
        <w:rPr>
          <w:b/>
          <w:bCs/>
          <w:lang w:val="en-US"/>
        </w:rPr>
        <w:t xml:space="preserve">Support </w:t>
      </w:r>
      <w:r w:rsidRPr="0036755A">
        <w:rPr>
          <w:b/>
          <w:bCs/>
          <w:i/>
          <w:iCs/>
          <w:lang w:val="en-US"/>
        </w:rPr>
        <w:t>RB-set based H/S/NA time-domain configuration</w:t>
      </w:r>
      <w:r w:rsidRPr="0036755A">
        <w:rPr>
          <w:b/>
          <w:bCs/>
          <w:lang w:val="en-US"/>
        </w:rPr>
        <w:t xml:space="preserve"> </w:t>
      </w:r>
      <w:r>
        <w:rPr>
          <w:b/>
          <w:bCs/>
          <w:lang w:val="en-US"/>
        </w:rPr>
        <w:t xml:space="preserve">within the general scheme space of Alt2, </w:t>
      </w:r>
      <w:r w:rsidRPr="0036755A">
        <w:rPr>
          <w:b/>
          <w:bCs/>
          <w:lang w:val="en-US"/>
        </w:rPr>
        <w:t>where</w:t>
      </w:r>
      <w:r>
        <w:rPr>
          <w:b/>
          <w:bCs/>
          <w:lang w:val="en-US"/>
        </w:rPr>
        <w:t>in</w:t>
      </w:r>
      <w:r w:rsidRPr="0036755A">
        <w:rPr>
          <w:b/>
          <w:bCs/>
          <w:lang w:val="en-US"/>
        </w:rPr>
        <w:t xml:space="preserve"> Rel-16 H/S/NA time-domain configuration is applied within each RB set.</w:t>
      </w:r>
    </w:p>
    <w:p w14:paraId="2987E93A" w14:textId="77777777" w:rsidR="00D90B3F" w:rsidRDefault="00D90B3F" w:rsidP="003806DE">
      <w:pPr>
        <w:pStyle w:val="ListParagraph"/>
        <w:numPr>
          <w:ilvl w:val="0"/>
          <w:numId w:val="5"/>
        </w:numPr>
        <w:rPr>
          <w:b/>
          <w:bCs/>
          <w:lang w:val="en-US"/>
        </w:rPr>
      </w:pPr>
      <w:r w:rsidRPr="0036755A">
        <w:rPr>
          <w:b/>
          <w:bCs/>
          <w:lang w:val="en-US"/>
        </w:rPr>
        <w:t>Each RB set can be configured as (starting PRB, number of consecutive PRBs).</w:t>
      </w:r>
    </w:p>
    <w:p w14:paraId="5E0B1ED3" w14:textId="77777777" w:rsidR="00D90B3F" w:rsidRDefault="00D90B3F" w:rsidP="003806DE">
      <w:pPr>
        <w:pStyle w:val="ListParagraph"/>
        <w:numPr>
          <w:ilvl w:val="0"/>
          <w:numId w:val="5"/>
        </w:numPr>
        <w:rPr>
          <w:b/>
          <w:bCs/>
          <w:lang w:val="en-US"/>
        </w:rPr>
      </w:pPr>
      <w:r w:rsidRPr="0036755A">
        <w:rPr>
          <w:b/>
          <w:bCs/>
          <w:lang w:val="en-US"/>
        </w:rPr>
        <w:t>Different Rel-16 time-domain H/S/NA patterns can be configured for different RB-sets.</w:t>
      </w:r>
    </w:p>
    <w:p w14:paraId="6BAA6CCD" w14:textId="77777777" w:rsidR="00D90B3F" w:rsidRPr="004D5DEC" w:rsidRDefault="00D90B3F" w:rsidP="003806DE">
      <w:pPr>
        <w:pStyle w:val="ListParagraph"/>
        <w:numPr>
          <w:ilvl w:val="0"/>
          <w:numId w:val="5"/>
        </w:numPr>
        <w:rPr>
          <w:b/>
          <w:bCs/>
          <w:lang w:val="en-US"/>
        </w:rPr>
      </w:pPr>
      <w:r w:rsidRPr="0036755A">
        <w:rPr>
          <w:b/>
          <w:bCs/>
          <w:lang w:val="en-US"/>
        </w:rPr>
        <w:t>If an RB set overlaps with any of SSB, Type0-PDCCH, periodic CSI-RS, PRACH, or SR at a symbol, this RB set at this symbol shall be treated as “Hard”.</w:t>
      </w:r>
    </w:p>
    <w:p w14:paraId="041CE0BF" w14:textId="77777777" w:rsidR="00D90B3F" w:rsidRDefault="00D90B3F" w:rsidP="00D90B3F">
      <w:pPr>
        <w:rPr>
          <w:b/>
          <w:bCs/>
          <w:u w:val="single"/>
          <w:lang w:eastAsia="zh-CN"/>
        </w:rPr>
      </w:pPr>
      <w:r w:rsidRPr="00D24022">
        <w:rPr>
          <w:b/>
          <w:bCs/>
          <w:u w:val="single"/>
          <w:lang w:eastAsia="zh-CN"/>
        </w:rPr>
        <w:t>Observation</w:t>
      </w:r>
      <w:r>
        <w:rPr>
          <w:b/>
          <w:bCs/>
          <w:u w:val="single"/>
          <w:lang w:eastAsia="zh-CN"/>
        </w:rPr>
        <w:t xml:space="preserve"> 2.2</w:t>
      </w:r>
      <w:r w:rsidRPr="00D24022">
        <w:rPr>
          <w:b/>
          <w:bCs/>
          <w:u w:val="single"/>
          <w:lang w:eastAsia="zh-CN"/>
        </w:rPr>
        <w:t>:</w:t>
      </w:r>
    </w:p>
    <w:p w14:paraId="62E6C4FE" w14:textId="77777777" w:rsidR="00D90B3F" w:rsidRDefault="00D90B3F" w:rsidP="00D90B3F">
      <w:pPr>
        <w:rPr>
          <w:b/>
          <w:bCs/>
        </w:rPr>
      </w:pPr>
      <w:r w:rsidRPr="006C3A79">
        <w:rPr>
          <w:b/>
          <w:bCs/>
        </w:rPr>
        <w:t xml:space="preserve">The </w:t>
      </w:r>
      <w:r w:rsidRPr="00D52900">
        <w:rPr>
          <w:b/>
          <w:bCs/>
          <w:i/>
          <w:iCs/>
        </w:rPr>
        <w:t>RB-set based H/S/NA time-domain configuration</w:t>
      </w:r>
      <w:r w:rsidRPr="006C3A79">
        <w:rPr>
          <w:b/>
          <w:bCs/>
        </w:rPr>
        <w:t xml:space="preserve"> provides a good trade-off between configuration flexibility and signalling overhead.</w:t>
      </w:r>
      <w:r>
        <w:rPr>
          <w:b/>
          <w:bCs/>
        </w:rPr>
        <w:t xml:space="preserve"> </w:t>
      </w:r>
    </w:p>
    <w:p w14:paraId="4A203AA9" w14:textId="77777777" w:rsidR="00D90B3F" w:rsidRPr="00D52900" w:rsidRDefault="00D90B3F" w:rsidP="003806DE">
      <w:pPr>
        <w:pStyle w:val="ListParagraph"/>
        <w:numPr>
          <w:ilvl w:val="0"/>
          <w:numId w:val="6"/>
        </w:numPr>
        <w:rPr>
          <w:b/>
          <w:bCs/>
        </w:rPr>
      </w:pPr>
      <w:r>
        <w:rPr>
          <w:b/>
          <w:bCs/>
        </w:rPr>
        <w:t xml:space="preserve">Alt1 can be achieved by </w:t>
      </w:r>
      <w:r w:rsidRPr="0077521A">
        <w:rPr>
          <w:b/>
          <w:bCs/>
          <w:i/>
          <w:iCs/>
        </w:rPr>
        <w:t>RB-set based H/S/NA time-domain</w:t>
      </w:r>
      <w:r w:rsidRPr="00D52900">
        <w:rPr>
          <w:b/>
          <w:bCs/>
        </w:rPr>
        <w:t xml:space="preserve"> configuration</w:t>
      </w:r>
      <w:r>
        <w:rPr>
          <w:b/>
          <w:bCs/>
        </w:rPr>
        <w:t xml:space="preserve"> as a special case, wherein </w:t>
      </w:r>
      <w:r w:rsidRPr="00D52900">
        <w:rPr>
          <w:b/>
          <w:bCs/>
        </w:rPr>
        <w:t xml:space="preserve">the same H/S/NA pattern </w:t>
      </w:r>
      <w:r>
        <w:rPr>
          <w:b/>
          <w:bCs/>
        </w:rPr>
        <w:t>is applied</w:t>
      </w:r>
      <w:r w:rsidRPr="00D52900">
        <w:rPr>
          <w:b/>
          <w:bCs/>
        </w:rPr>
        <w:t xml:space="preserve"> </w:t>
      </w:r>
      <w:r>
        <w:rPr>
          <w:b/>
          <w:bCs/>
        </w:rPr>
        <w:t>over</w:t>
      </w:r>
      <w:r w:rsidRPr="00D52900">
        <w:rPr>
          <w:b/>
          <w:bCs/>
        </w:rPr>
        <w:t xml:space="preserve"> a </w:t>
      </w:r>
      <w:r>
        <w:rPr>
          <w:b/>
          <w:bCs/>
        </w:rPr>
        <w:t>1</w:t>
      </w:r>
      <w:r w:rsidRPr="00D4143F">
        <w:rPr>
          <w:b/>
          <w:bCs/>
          <w:vertAlign w:val="superscript"/>
        </w:rPr>
        <w:t>st</w:t>
      </w:r>
      <w:r>
        <w:rPr>
          <w:b/>
          <w:bCs/>
        </w:rPr>
        <w:t xml:space="preserve"> </w:t>
      </w:r>
      <w:r w:rsidRPr="00D52900">
        <w:rPr>
          <w:b/>
          <w:bCs/>
        </w:rPr>
        <w:t>subset of time-resources cross RB-sets</w:t>
      </w:r>
      <w:r>
        <w:rPr>
          <w:b/>
          <w:bCs/>
        </w:rPr>
        <w:t xml:space="preserve"> </w:t>
      </w:r>
      <w:r w:rsidRPr="00D52900">
        <w:rPr>
          <w:b/>
          <w:bCs/>
        </w:rPr>
        <w:t xml:space="preserve">and different H/S/NA patterns </w:t>
      </w:r>
      <w:r>
        <w:rPr>
          <w:b/>
          <w:bCs/>
        </w:rPr>
        <w:t>over different</w:t>
      </w:r>
      <w:r w:rsidRPr="00D52900">
        <w:rPr>
          <w:b/>
          <w:bCs/>
        </w:rPr>
        <w:t xml:space="preserve"> RB-sets </w:t>
      </w:r>
      <w:r>
        <w:rPr>
          <w:b/>
          <w:bCs/>
        </w:rPr>
        <w:t>are applied over</w:t>
      </w:r>
      <w:r w:rsidRPr="00D52900">
        <w:rPr>
          <w:b/>
          <w:bCs/>
        </w:rPr>
        <w:t xml:space="preserve"> </w:t>
      </w:r>
      <w:r>
        <w:rPr>
          <w:b/>
          <w:bCs/>
        </w:rPr>
        <w:t>a 2</w:t>
      </w:r>
      <w:r w:rsidRPr="00D4143F">
        <w:rPr>
          <w:b/>
          <w:bCs/>
          <w:vertAlign w:val="superscript"/>
        </w:rPr>
        <w:t>nd</w:t>
      </w:r>
      <w:r>
        <w:rPr>
          <w:b/>
          <w:bCs/>
        </w:rPr>
        <w:t xml:space="preserve"> </w:t>
      </w:r>
      <w:r w:rsidRPr="00D52900">
        <w:rPr>
          <w:b/>
          <w:bCs/>
        </w:rPr>
        <w:t>subset of time-resources.</w:t>
      </w:r>
    </w:p>
    <w:p w14:paraId="51773EEF" w14:textId="77777777" w:rsidR="00D90B3F" w:rsidRDefault="00D90B3F" w:rsidP="00D90B3F">
      <w:r>
        <w:rPr>
          <w:lang w:val="en-US"/>
        </w:rPr>
        <w:lastRenderedPageBreak/>
        <w:t xml:space="preserve">To extend the </w:t>
      </w:r>
      <w:r>
        <w:t xml:space="preserve">Rel-16 DCI 2_5 framework to support dynamic FDM within a carrier, we show an example of </w:t>
      </w:r>
      <w:proofErr w:type="spellStart"/>
      <w:r>
        <w:t>signaling</w:t>
      </w:r>
      <w:proofErr w:type="spellEnd"/>
      <w:r>
        <w:t xml:space="preserve"> enhancements in Fig.2. It can be seen that we can keep the existing DCI 2_5 format unchanged but extend the RRC configured table for the availability combinations so that availability can be indicated in both time and frequency domain. There can be different options to extend the RRC configured table, and two options are shown in Fig.2. In Option1, the one 3-bit </w:t>
      </w:r>
      <w:proofErr w:type="spellStart"/>
      <w:r w:rsidRPr="00F75F1A">
        <w:rPr>
          <w:i/>
          <w:iCs/>
        </w:rPr>
        <w:t>resourceAvailability</w:t>
      </w:r>
      <w:proofErr w:type="spellEnd"/>
      <w:r>
        <w:t xml:space="preserve"> element per slot in Rel-16 can be extended to multiple </w:t>
      </w:r>
      <w:proofErr w:type="spellStart"/>
      <w:r w:rsidRPr="00F75F1A">
        <w:rPr>
          <w:i/>
          <w:iCs/>
        </w:rPr>
        <w:t>resourceAvailability</w:t>
      </w:r>
      <w:proofErr w:type="spellEnd"/>
      <w:r>
        <w:t xml:space="preserve"> elements per slot, each associated with one RB set of the slot. In option2, the one 3-bit </w:t>
      </w:r>
      <w:proofErr w:type="spellStart"/>
      <w:r w:rsidRPr="00F75F1A">
        <w:rPr>
          <w:i/>
          <w:iCs/>
        </w:rPr>
        <w:t>resourceAvailability</w:t>
      </w:r>
      <w:proofErr w:type="spellEnd"/>
      <w:r>
        <w:t xml:space="preserve"> element per slot in Rel-16 can be extended to two elements per slot: one for time-domain indication, and one for frequency-domain indication. It can be seen that option1 provides more flexible patterns but at the cost of higher </w:t>
      </w:r>
      <w:proofErr w:type="spellStart"/>
      <w:r>
        <w:t>signaling</w:t>
      </w:r>
      <w:proofErr w:type="spellEnd"/>
      <w:r>
        <w:t xml:space="preserve"> overhead than option2.       </w:t>
      </w:r>
    </w:p>
    <w:p w14:paraId="66B632FC" w14:textId="77777777" w:rsidR="00D90B3F" w:rsidRDefault="00D90B3F" w:rsidP="00D90B3F">
      <w:pPr>
        <w:jc w:val="center"/>
      </w:pPr>
      <w:r>
        <w:rPr>
          <w:noProof/>
        </w:rPr>
        <w:drawing>
          <wp:inline distT="0" distB="0" distL="0" distR="0" wp14:anchorId="5CF770D4" wp14:editId="1BB0559A">
            <wp:extent cx="5915660" cy="2222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6541" cy="2230532"/>
                    </a:xfrm>
                    <a:prstGeom prst="rect">
                      <a:avLst/>
                    </a:prstGeom>
                    <a:noFill/>
                  </pic:spPr>
                </pic:pic>
              </a:graphicData>
            </a:graphic>
          </wp:inline>
        </w:drawing>
      </w:r>
    </w:p>
    <w:p w14:paraId="76CED76B" w14:textId="77777777" w:rsidR="00D90B3F" w:rsidRDefault="00D90B3F" w:rsidP="00D90B3F">
      <w:pPr>
        <w:jc w:val="center"/>
        <w:rPr>
          <w:b/>
          <w:bCs/>
        </w:rPr>
      </w:pPr>
      <w:r w:rsidRPr="0003657B">
        <w:rPr>
          <w:b/>
          <w:bCs/>
        </w:rPr>
        <w:t>Fig.</w:t>
      </w:r>
      <w:r>
        <w:rPr>
          <w:b/>
          <w:bCs/>
        </w:rPr>
        <w:t>2</w:t>
      </w:r>
      <w:r w:rsidRPr="0003657B">
        <w:rPr>
          <w:b/>
          <w:bCs/>
        </w:rPr>
        <w:t xml:space="preserve">. </w:t>
      </w:r>
      <w:r>
        <w:rPr>
          <w:b/>
          <w:bCs/>
        </w:rPr>
        <w:t xml:space="preserve">Example of </w:t>
      </w:r>
      <w:proofErr w:type="spellStart"/>
      <w:r>
        <w:rPr>
          <w:b/>
          <w:bCs/>
        </w:rPr>
        <w:t>signaling</w:t>
      </w:r>
      <w:proofErr w:type="spellEnd"/>
      <w:r>
        <w:rPr>
          <w:b/>
          <w:bCs/>
        </w:rPr>
        <w:t xml:space="preserve"> enhancements to support dynamic FDM within a carrier </w:t>
      </w:r>
    </w:p>
    <w:p w14:paraId="782B16F5" w14:textId="77777777" w:rsidR="00D90B3F" w:rsidRDefault="00D90B3F" w:rsidP="00D90B3F">
      <w:pPr>
        <w:rPr>
          <w:b/>
          <w:bCs/>
          <w:u w:val="single"/>
          <w:lang w:eastAsia="zh-CN"/>
        </w:rPr>
      </w:pPr>
      <w:r>
        <w:rPr>
          <w:b/>
          <w:bCs/>
          <w:u w:val="single"/>
          <w:lang w:eastAsia="zh-CN"/>
        </w:rPr>
        <w:t>Proposal 2.3</w:t>
      </w:r>
      <w:r w:rsidRPr="00D24022">
        <w:rPr>
          <w:b/>
          <w:bCs/>
          <w:u w:val="single"/>
          <w:lang w:eastAsia="zh-CN"/>
        </w:rPr>
        <w:t>:</w:t>
      </w:r>
    </w:p>
    <w:p w14:paraId="281CB535" w14:textId="77777777" w:rsidR="00D90B3F" w:rsidRPr="00885E3E" w:rsidRDefault="00D90B3F" w:rsidP="00D90B3F">
      <w:pPr>
        <w:rPr>
          <w:b/>
          <w:bCs/>
        </w:rPr>
      </w:pPr>
      <w:r w:rsidRPr="00885E3E">
        <w:rPr>
          <w:b/>
          <w:bCs/>
        </w:rPr>
        <w:t xml:space="preserve">Support joint TDM and FDM indication for soft resource availability, wherein DCI2_5 format is kept unchanged and RRC configured table for availability combinations can be extended to allow for indication of availability in frequency-domain in granularity of RB set. </w:t>
      </w:r>
    </w:p>
    <w:p w14:paraId="706083FF" w14:textId="284037C8" w:rsidR="00D90B3F" w:rsidRDefault="00D90B3F" w:rsidP="00D90B3F">
      <w:r>
        <w:t xml:space="preserve">Note that if the semi-static configuration of H/S/NA is extended to the frequency-domain, the term “soft DL/UL/Flexible symbols” used in the spec-defined table for </w:t>
      </w:r>
      <w:proofErr w:type="spellStart"/>
      <w:r w:rsidRPr="00EB7C21">
        <w:rPr>
          <w:i/>
          <w:iCs/>
        </w:rPr>
        <w:t>resourceAvailability</w:t>
      </w:r>
      <w:proofErr w:type="spellEnd"/>
      <w:r>
        <w:t xml:space="preserve"> elements in TS38.213 [4] may not be valid, because a symbol can have mixed indications of “Hard/NA/Soft” at different RB sets in frequency-domain. Therefore, we propose to update the spec-defined table for </w:t>
      </w:r>
      <w:proofErr w:type="spellStart"/>
      <w:r w:rsidRPr="00EB7C21">
        <w:rPr>
          <w:i/>
          <w:iCs/>
        </w:rPr>
        <w:t>resourceAvailability</w:t>
      </w:r>
      <w:proofErr w:type="spellEnd"/>
      <w:r>
        <w:t xml:space="preserve"> elements with more general terms so that it can be applied regardless whether the semi-static configuration of Hard/Soft/NA is extended to frequency-domain, </w:t>
      </w:r>
      <w:r w:rsidR="00F21745">
        <w:t>e.g.,</w:t>
      </w:r>
      <w:r>
        <w:t xml:space="preserve"> replacing “soft DL/UL/Flexible symbols” with “soft resources in DL/UL/Flexible symbols” as shown in Fig.3.</w:t>
      </w:r>
    </w:p>
    <w:p w14:paraId="42A8BCDD" w14:textId="5E622F84" w:rsidR="004F1D17" w:rsidRDefault="004F1D17" w:rsidP="00D90B3F"/>
    <w:p w14:paraId="77C5D4DC" w14:textId="7B83EA10" w:rsidR="004F1D17" w:rsidRDefault="004F1D17" w:rsidP="00D90B3F"/>
    <w:p w14:paraId="0EB7689E" w14:textId="2D35322B" w:rsidR="004F1D17" w:rsidRDefault="004F1D17" w:rsidP="00D90B3F"/>
    <w:p w14:paraId="6CD25B02" w14:textId="5CFA4F31" w:rsidR="004F1D17" w:rsidRDefault="004F1D17" w:rsidP="00D90B3F"/>
    <w:p w14:paraId="09BCE132" w14:textId="2E17FF33" w:rsidR="004F1D17" w:rsidRDefault="004F1D17" w:rsidP="00D90B3F"/>
    <w:p w14:paraId="69A61EAB" w14:textId="24F3697A" w:rsidR="004F1D17" w:rsidRDefault="004F1D17" w:rsidP="00D90B3F"/>
    <w:p w14:paraId="2922419E" w14:textId="223C0B23" w:rsidR="004F1D17" w:rsidRDefault="004F1D17" w:rsidP="00D90B3F"/>
    <w:p w14:paraId="74841527" w14:textId="0A2C7866" w:rsidR="004F1D17" w:rsidRDefault="004F1D17" w:rsidP="00D90B3F"/>
    <w:p w14:paraId="6713A503" w14:textId="77AE5AA0" w:rsidR="004F1D17" w:rsidRDefault="004F1D17" w:rsidP="00D90B3F"/>
    <w:p w14:paraId="76D79399" w14:textId="47464EF1" w:rsidR="004F1D17" w:rsidRDefault="004F1D17" w:rsidP="00D90B3F"/>
    <w:p w14:paraId="6F4F3EDA" w14:textId="4E2B2017" w:rsidR="004F1D17" w:rsidRDefault="004F1D17" w:rsidP="00D90B3F"/>
    <w:p w14:paraId="677AE599" w14:textId="77777777" w:rsidR="004F1D17" w:rsidRDefault="004F1D17" w:rsidP="00D90B3F"/>
    <w:p w14:paraId="41B4D45C" w14:textId="77777777" w:rsidR="00D90B3F" w:rsidRDefault="00D90B3F" w:rsidP="00D90B3F">
      <w:pPr>
        <w:rPr>
          <w:b/>
          <w:bCs/>
          <w:u w:val="single"/>
          <w:lang w:eastAsia="zh-CN"/>
        </w:rPr>
      </w:pPr>
      <w:r>
        <w:rPr>
          <w:b/>
          <w:bCs/>
          <w:u w:val="single"/>
          <w:lang w:eastAsia="zh-CN"/>
        </w:rPr>
        <w:lastRenderedPageBreak/>
        <w:t>Proposal 2.4</w:t>
      </w:r>
      <w:r w:rsidRPr="00D24022">
        <w:rPr>
          <w:b/>
          <w:bCs/>
          <w:u w:val="single"/>
          <w:lang w:eastAsia="zh-CN"/>
        </w:rPr>
        <w:t>:</w:t>
      </w:r>
    </w:p>
    <w:p w14:paraId="514397AD" w14:textId="77777777" w:rsidR="00D90B3F" w:rsidRPr="00784F24" w:rsidRDefault="00D90B3F" w:rsidP="00D90B3F">
      <w:pPr>
        <w:rPr>
          <w:b/>
          <w:bCs/>
          <w:lang w:val="en-US"/>
        </w:rPr>
      </w:pPr>
      <w:r w:rsidRPr="00784F24">
        <w:rPr>
          <w:b/>
          <w:bCs/>
          <w:lang w:val="en-US"/>
        </w:rPr>
        <w:t xml:space="preserve">Update </w:t>
      </w:r>
      <w:proofErr w:type="spellStart"/>
      <w:r w:rsidRPr="00784F24">
        <w:rPr>
          <w:b/>
          <w:bCs/>
          <w:lang w:val="en-US"/>
        </w:rPr>
        <w:t>resourceAvailability</w:t>
      </w:r>
      <w:proofErr w:type="spellEnd"/>
      <w:r w:rsidRPr="00784F24">
        <w:rPr>
          <w:b/>
          <w:bCs/>
          <w:lang w:val="en-US"/>
        </w:rPr>
        <w:t xml:space="preserve"> mapping table defined in TS38.213 so that the indication of availability can be applied over soft resources in frequency-domain for DL or UL or Flexible symbols. </w:t>
      </w:r>
    </w:p>
    <w:p w14:paraId="291EA1EA" w14:textId="77777777" w:rsidR="00D90B3F" w:rsidRDefault="00D90B3F" w:rsidP="003806DE">
      <w:pPr>
        <w:pStyle w:val="ListParagraph"/>
        <w:numPr>
          <w:ilvl w:val="0"/>
          <w:numId w:val="1"/>
        </w:numPr>
      </w:pPr>
      <w:r w:rsidRPr="00784F24">
        <w:rPr>
          <w:b/>
          <w:bCs/>
          <w:lang w:val="en-US"/>
        </w:rPr>
        <w:t>E.g. replacing “soft DL/UL/Flexible symbols” with “soft resources in DL/UL/Flexible symbols”</w:t>
      </w:r>
      <w:r w:rsidRPr="00784F24">
        <w:rPr>
          <w:b/>
          <w:bCs/>
        </w:rPr>
        <w:t xml:space="preserve"> </w:t>
      </w:r>
    </w:p>
    <w:p w14:paraId="17364E39" w14:textId="77777777" w:rsidR="00D90B3F" w:rsidRDefault="00D90B3F" w:rsidP="00D90B3F">
      <w:pPr>
        <w:jc w:val="center"/>
      </w:pPr>
      <w:r>
        <w:rPr>
          <w:noProof/>
        </w:rPr>
        <w:drawing>
          <wp:inline distT="0" distB="0" distL="0" distR="0" wp14:anchorId="56D0AD97" wp14:editId="1EA05FFC">
            <wp:extent cx="5764990" cy="1942733"/>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2159" cy="1948519"/>
                    </a:xfrm>
                    <a:prstGeom prst="rect">
                      <a:avLst/>
                    </a:prstGeom>
                    <a:noFill/>
                  </pic:spPr>
                </pic:pic>
              </a:graphicData>
            </a:graphic>
          </wp:inline>
        </w:drawing>
      </w:r>
    </w:p>
    <w:p w14:paraId="1963ADBC" w14:textId="77777777" w:rsidR="00D90B3F" w:rsidRPr="004B2D03" w:rsidRDefault="00D90B3F" w:rsidP="00D90B3F">
      <w:pPr>
        <w:jc w:val="center"/>
        <w:rPr>
          <w:b/>
          <w:bCs/>
        </w:rPr>
      </w:pPr>
      <w:r w:rsidRPr="004B2D03">
        <w:rPr>
          <w:b/>
          <w:bCs/>
        </w:rPr>
        <w:t>Fig.</w:t>
      </w:r>
      <w:r>
        <w:rPr>
          <w:b/>
          <w:bCs/>
        </w:rPr>
        <w:t>3</w:t>
      </w:r>
      <w:r w:rsidRPr="004B2D03">
        <w:rPr>
          <w:b/>
          <w:bCs/>
        </w:rPr>
        <w:t xml:space="preserve"> </w:t>
      </w:r>
      <w:r>
        <w:rPr>
          <w:b/>
          <w:bCs/>
        </w:rPr>
        <w:t xml:space="preserve">Proposed changes to table of </w:t>
      </w:r>
      <w:proofErr w:type="spellStart"/>
      <w:r w:rsidRPr="00F24D3A">
        <w:rPr>
          <w:b/>
          <w:bCs/>
          <w:i/>
          <w:iCs/>
        </w:rPr>
        <w:t>resourceAvailability</w:t>
      </w:r>
      <w:proofErr w:type="spellEnd"/>
      <w:r>
        <w:rPr>
          <w:b/>
          <w:bCs/>
        </w:rPr>
        <w:t xml:space="preserve"> elements defined in TS38.213. </w:t>
      </w:r>
    </w:p>
    <w:p w14:paraId="200CD4A6" w14:textId="77777777" w:rsidR="00D90B3F" w:rsidRDefault="00D90B3F" w:rsidP="00D90B3F">
      <w:pPr>
        <w:pStyle w:val="Heading2"/>
      </w:pPr>
      <w:r>
        <w:t xml:space="preserve">3. </w:t>
      </w:r>
      <w:proofErr w:type="spellStart"/>
      <w:r>
        <w:t>Signaling</w:t>
      </w:r>
      <w:proofErr w:type="spellEnd"/>
      <w:r>
        <w:t xml:space="preserve"> Enhancements for Enhanced Multiplexing Operation</w:t>
      </w:r>
    </w:p>
    <w:p w14:paraId="2746A57E" w14:textId="77777777" w:rsidR="00D90B3F" w:rsidRDefault="00D90B3F" w:rsidP="00D90B3F">
      <w:r>
        <w:t>The following agreements have been made in RAN1-105e [2] for supporting enhanced multiplex operation.</w:t>
      </w:r>
    </w:p>
    <w:tbl>
      <w:tblPr>
        <w:tblStyle w:val="TableGrid"/>
        <w:tblW w:w="0" w:type="auto"/>
        <w:tblLook w:val="04A0" w:firstRow="1" w:lastRow="0" w:firstColumn="1" w:lastColumn="0" w:noHBand="0" w:noVBand="1"/>
      </w:tblPr>
      <w:tblGrid>
        <w:gridCol w:w="9629"/>
      </w:tblGrid>
      <w:tr w:rsidR="00D90B3F" w14:paraId="457E427B" w14:textId="77777777" w:rsidTr="00F7095E">
        <w:tc>
          <w:tcPr>
            <w:tcW w:w="9629" w:type="dxa"/>
          </w:tcPr>
          <w:p w14:paraId="5C47ADA9" w14:textId="77777777" w:rsidR="00D90B3F" w:rsidRPr="005F6E80" w:rsidRDefault="00D90B3F" w:rsidP="00F7095E">
            <w:pPr>
              <w:spacing w:after="0"/>
              <w:rPr>
                <w:lang w:val="en-US"/>
              </w:rPr>
            </w:pPr>
            <w:r w:rsidRPr="005F6E80">
              <w:rPr>
                <w:b/>
                <w:bCs/>
                <w:highlight w:val="green"/>
              </w:rPr>
              <w:t>Agreement</w:t>
            </w:r>
          </w:p>
          <w:p w14:paraId="44DE12E5" w14:textId="77777777" w:rsidR="00D90B3F" w:rsidRDefault="00D90B3F" w:rsidP="00F7095E">
            <w:pPr>
              <w:spacing w:after="0"/>
              <w:rPr>
                <w:lang w:val="en-US"/>
              </w:rPr>
            </w:pPr>
            <w:r w:rsidRPr="00EC1B36">
              <w:rPr>
                <w:lang w:val="en-US"/>
              </w:rPr>
              <w:t xml:space="preserve">In case of simultaneous MT/DU operation, </w:t>
            </w:r>
          </w:p>
          <w:p w14:paraId="1687C79E" w14:textId="77777777" w:rsidR="00D90B3F" w:rsidRDefault="00D90B3F" w:rsidP="003806DE">
            <w:pPr>
              <w:pStyle w:val="ListParagraph"/>
              <w:numPr>
                <w:ilvl w:val="0"/>
                <w:numId w:val="1"/>
              </w:numPr>
              <w:spacing w:after="0"/>
              <w:rPr>
                <w:lang w:val="en-US"/>
              </w:rPr>
            </w:pPr>
            <w:r w:rsidRPr="00B833C3">
              <w:rPr>
                <w:lang w:val="en-US"/>
              </w:rPr>
              <w:t>the parent node can dynamically indicate to the child node at least a set of restricted beams at the IAB-DU of the child node</w:t>
            </w:r>
          </w:p>
          <w:p w14:paraId="7201A581" w14:textId="77777777" w:rsidR="00D90B3F" w:rsidRDefault="00D90B3F" w:rsidP="003806DE">
            <w:pPr>
              <w:pStyle w:val="ListParagraph"/>
              <w:numPr>
                <w:ilvl w:val="0"/>
                <w:numId w:val="1"/>
              </w:numPr>
              <w:spacing w:after="0"/>
              <w:rPr>
                <w:lang w:val="en-US"/>
              </w:rPr>
            </w:pPr>
            <w:r w:rsidRPr="00B833C3">
              <w:rPr>
                <w:lang w:val="en-US"/>
              </w:rPr>
              <w:t>the child node can dynamically report to the parent node a set of recommended beams, not preferred beams, or both recommended and not preferred beams of the IAB-MT of the child node</w:t>
            </w:r>
          </w:p>
          <w:p w14:paraId="44372D0A" w14:textId="77777777" w:rsidR="00D90B3F" w:rsidRDefault="00D90B3F" w:rsidP="003806DE">
            <w:pPr>
              <w:pStyle w:val="ListParagraph"/>
              <w:numPr>
                <w:ilvl w:val="1"/>
                <w:numId w:val="1"/>
              </w:numPr>
              <w:spacing w:after="0"/>
              <w:rPr>
                <w:lang w:val="en-US"/>
              </w:rPr>
            </w:pPr>
            <w:r w:rsidRPr="00B833C3">
              <w:rPr>
                <w:lang w:val="en-US"/>
              </w:rPr>
              <w:t>FFS: Whether the specification supports all reporting combinations.</w:t>
            </w:r>
          </w:p>
          <w:p w14:paraId="13C7B71F" w14:textId="77777777" w:rsidR="00D90B3F" w:rsidRDefault="00D90B3F" w:rsidP="003806DE">
            <w:pPr>
              <w:pStyle w:val="ListParagraph"/>
              <w:numPr>
                <w:ilvl w:val="0"/>
                <w:numId w:val="1"/>
              </w:numPr>
              <w:spacing w:after="0"/>
              <w:rPr>
                <w:lang w:val="en-US"/>
              </w:rPr>
            </w:pPr>
            <w:r w:rsidRPr="00B833C3">
              <w:rPr>
                <w:lang w:val="en-US"/>
              </w:rPr>
              <w:t>FFS: Applicability to specific multiplexing cases or specific time-frequency resources</w:t>
            </w:r>
          </w:p>
          <w:p w14:paraId="6FC8D59C" w14:textId="77777777" w:rsidR="00D90B3F" w:rsidRDefault="00D90B3F" w:rsidP="003806DE">
            <w:pPr>
              <w:pStyle w:val="ListParagraph"/>
              <w:numPr>
                <w:ilvl w:val="0"/>
                <w:numId w:val="1"/>
              </w:numPr>
              <w:spacing w:after="0"/>
              <w:rPr>
                <w:lang w:val="en-US"/>
              </w:rPr>
            </w:pPr>
            <w:r w:rsidRPr="00B833C3">
              <w:rPr>
                <w:lang w:val="en-US"/>
              </w:rPr>
              <w:t xml:space="preserve">FFS: Additional semi-static signaling </w:t>
            </w:r>
          </w:p>
          <w:p w14:paraId="06B7A81A" w14:textId="77777777" w:rsidR="00D90B3F" w:rsidRDefault="00D90B3F" w:rsidP="003806DE">
            <w:pPr>
              <w:pStyle w:val="ListParagraph"/>
              <w:numPr>
                <w:ilvl w:val="0"/>
                <w:numId w:val="1"/>
              </w:numPr>
              <w:spacing w:after="0"/>
              <w:rPr>
                <w:lang w:val="en-US"/>
              </w:rPr>
            </w:pPr>
            <w:r w:rsidRPr="00115CE1">
              <w:rPr>
                <w:lang w:val="en-US"/>
              </w:rPr>
              <w:t>FFS: Per-panel granularity in addition to per-beam granularity</w:t>
            </w:r>
          </w:p>
          <w:p w14:paraId="4EB8AC9C" w14:textId="77777777" w:rsidR="00D90B3F" w:rsidRDefault="00D90B3F" w:rsidP="003806DE">
            <w:pPr>
              <w:pStyle w:val="ListParagraph"/>
              <w:numPr>
                <w:ilvl w:val="0"/>
                <w:numId w:val="1"/>
              </w:numPr>
              <w:spacing w:after="0"/>
              <w:rPr>
                <w:lang w:val="en-US"/>
              </w:rPr>
            </w:pPr>
            <w:r w:rsidRPr="00115CE1">
              <w:rPr>
                <w:lang w:val="en-US"/>
              </w:rPr>
              <w:t>FFS: Relationship between child IAB-MT beam indication and parent IAB-DU beam indication</w:t>
            </w:r>
          </w:p>
          <w:p w14:paraId="1DC2BB3C" w14:textId="77777777" w:rsidR="00D90B3F" w:rsidRPr="00115CE1" w:rsidRDefault="00D90B3F" w:rsidP="003806DE">
            <w:pPr>
              <w:pStyle w:val="ListParagraph"/>
              <w:numPr>
                <w:ilvl w:val="0"/>
                <w:numId w:val="1"/>
              </w:numPr>
              <w:spacing w:after="0"/>
              <w:rPr>
                <w:lang w:val="en-US"/>
              </w:rPr>
            </w:pPr>
            <w:r w:rsidRPr="00115CE1">
              <w:rPr>
                <w:lang w:val="en-US"/>
              </w:rPr>
              <w:t>Note: This does not preclude any enhancements for either DU or MT-based CLI measurement and reports</w:t>
            </w:r>
          </w:p>
          <w:p w14:paraId="5295A91D" w14:textId="77777777" w:rsidR="00D90B3F" w:rsidRDefault="00D90B3F" w:rsidP="00F7095E"/>
          <w:p w14:paraId="52859FD7" w14:textId="77777777" w:rsidR="00D90B3F" w:rsidRPr="00893692" w:rsidRDefault="00D90B3F" w:rsidP="00F7095E">
            <w:pPr>
              <w:spacing w:after="0"/>
              <w:jc w:val="both"/>
            </w:pPr>
            <w:r w:rsidRPr="007F4DEF">
              <w:rPr>
                <w:highlight w:val="green"/>
              </w:rPr>
              <w:t>Agreement</w:t>
            </w:r>
          </w:p>
          <w:p w14:paraId="6B51E0EE" w14:textId="77777777" w:rsidR="00D90B3F" w:rsidRPr="00751A9B" w:rsidRDefault="00D90B3F" w:rsidP="00F7095E">
            <w:pPr>
              <w:spacing w:after="0"/>
              <w:jc w:val="both"/>
              <w:rPr>
                <w:lang w:val="en-US"/>
              </w:rPr>
            </w:pPr>
            <w:r w:rsidRPr="00751A9B">
              <w:t>The parent IAB-node is dynamically provided with conditions/parameters to facilitate adaptation between multiplexing operation modes:</w:t>
            </w:r>
          </w:p>
          <w:p w14:paraId="3F2F04E5" w14:textId="77777777" w:rsidR="00D90B3F" w:rsidRPr="00751A9B" w:rsidRDefault="00D90B3F" w:rsidP="003806DE">
            <w:pPr>
              <w:numPr>
                <w:ilvl w:val="0"/>
                <w:numId w:val="7"/>
              </w:numPr>
              <w:spacing w:after="0"/>
              <w:jc w:val="both"/>
              <w:rPr>
                <w:lang w:val="en-US"/>
              </w:rPr>
            </w:pPr>
            <w:r w:rsidRPr="00751A9B">
              <w:t>FFS: Required number of guard symbols for switching of multiplexing mode (FFS: per timing mode or per multiplexing mode) for IAB-DU</w:t>
            </w:r>
          </w:p>
          <w:p w14:paraId="09DB978B" w14:textId="77777777" w:rsidR="00D90B3F" w:rsidRPr="00751A9B" w:rsidRDefault="00D90B3F" w:rsidP="003806DE">
            <w:pPr>
              <w:numPr>
                <w:ilvl w:val="0"/>
                <w:numId w:val="7"/>
              </w:numPr>
              <w:spacing w:after="0"/>
              <w:jc w:val="both"/>
              <w:rPr>
                <w:lang w:val="en-US"/>
              </w:rPr>
            </w:pPr>
            <w:r w:rsidRPr="00751A9B">
              <w:t>FFS: Signalling procedure</w:t>
            </w:r>
          </w:p>
          <w:p w14:paraId="48515483" w14:textId="77777777" w:rsidR="00D90B3F" w:rsidRPr="00893692" w:rsidRDefault="00D90B3F" w:rsidP="003806DE">
            <w:pPr>
              <w:numPr>
                <w:ilvl w:val="0"/>
                <w:numId w:val="7"/>
              </w:numPr>
              <w:spacing w:after="0"/>
              <w:jc w:val="both"/>
              <w:rPr>
                <w:lang w:val="en-US"/>
              </w:rPr>
            </w:pPr>
            <w:r w:rsidRPr="00751A9B">
              <w:t>FFS: Required guard band for FDM</w:t>
            </w:r>
          </w:p>
          <w:p w14:paraId="7323F516" w14:textId="77777777" w:rsidR="00D90B3F" w:rsidRPr="00893692" w:rsidRDefault="00D90B3F" w:rsidP="003806DE">
            <w:pPr>
              <w:numPr>
                <w:ilvl w:val="0"/>
                <w:numId w:val="7"/>
              </w:numPr>
              <w:spacing w:after="0"/>
              <w:jc w:val="both"/>
              <w:rPr>
                <w:lang w:val="en-US"/>
              </w:rPr>
            </w:pPr>
            <w:r w:rsidRPr="00751A9B">
              <w:t>FFS: other conditions, e.g. required timing mode, required power control parameters, and preferred TCI.</w:t>
            </w:r>
          </w:p>
        </w:tc>
      </w:tr>
    </w:tbl>
    <w:p w14:paraId="17C93B55" w14:textId="77777777" w:rsidR="00D90B3F" w:rsidRDefault="00D90B3F" w:rsidP="00D90B3F"/>
    <w:p w14:paraId="1DF5ECC5" w14:textId="7C61A708" w:rsidR="00D90B3F" w:rsidRDefault="00D90B3F" w:rsidP="00D90B3F">
      <w:pPr>
        <w:jc w:val="both"/>
      </w:pPr>
      <w:r>
        <w:t xml:space="preserve">To Support adaptation of an IAB-node’s multiplexing operation, the parent-node should be provided with </w:t>
      </w:r>
      <w:r w:rsidRPr="00CB616B">
        <w:rPr>
          <w:i/>
          <w:iCs/>
        </w:rPr>
        <w:t>sufficient</w:t>
      </w:r>
      <w:r>
        <w:t xml:space="preserve"> and </w:t>
      </w:r>
      <w:r w:rsidRPr="00CB616B">
        <w:rPr>
          <w:i/>
          <w:iCs/>
        </w:rPr>
        <w:t>in-time</w:t>
      </w:r>
      <w:r>
        <w:t xml:space="preserve"> information about the efficiency of the IAB-node’s capability of operating in enhanced multiplexing modes. The IAB-node, upon any change, should send a direct and local indication (</w:t>
      </w:r>
      <w:r w:rsidR="00F21745">
        <w:t>e.g.,</w:t>
      </w:r>
      <w:r>
        <w:t xml:space="preserve"> via MAC-CE) to the parent-node to indicate whether it can efficiently support its enhanced multiplexing operation. The parent-node should take this into account to manage its resource utilization – </w:t>
      </w:r>
      <w:r w:rsidR="00F21745">
        <w:t>e.g.,</w:t>
      </w:r>
      <w:r>
        <w:t xml:space="preserve"> if the IAB-node indicates it cannot support an enhanced multiplexing mode at a given time, the parent-node may back off from scheduling the IAB-MT on the resources that are also allocated to the IAB-DU (as Hard). This local indication, as opposed to sending an updated capability signalling to the CU (via F1-AP) and CU forwarding the updated indication to the parent-node, has much less overhead and is much faster. In addition, a </w:t>
      </w:r>
      <w:proofErr w:type="spellStart"/>
      <w:r>
        <w:t>signaling</w:t>
      </w:r>
      <w:proofErr w:type="spellEnd"/>
      <w:r>
        <w:t xml:space="preserve"> for indication of required conditions to realize the enhanced multiplexing capability by the IAB-node to donor CU and/or parent node may need to be supported.     </w:t>
      </w:r>
    </w:p>
    <w:p w14:paraId="7E890094" w14:textId="77777777" w:rsidR="00D90B3F" w:rsidRDefault="00D90B3F" w:rsidP="00D90B3F">
      <w:pPr>
        <w:jc w:val="both"/>
        <w:rPr>
          <w:b/>
          <w:bCs/>
        </w:rPr>
      </w:pPr>
      <w:r>
        <w:rPr>
          <w:b/>
          <w:bCs/>
          <w:u w:val="single"/>
        </w:rPr>
        <w:lastRenderedPageBreak/>
        <w:t>Proposal</w:t>
      </w:r>
      <w:r w:rsidRPr="00B41255">
        <w:rPr>
          <w:b/>
          <w:bCs/>
          <w:u w:val="single"/>
        </w:rPr>
        <w:t xml:space="preserve"> </w:t>
      </w:r>
      <w:r>
        <w:rPr>
          <w:b/>
          <w:bCs/>
          <w:u w:val="single"/>
        </w:rPr>
        <w:t>3.1</w:t>
      </w:r>
      <w:r w:rsidRPr="00B41255">
        <w:rPr>
          <w:b/>
          <w:bCs/>
          <w:u w:val="single"/>
        </w:rPr>
        <w:t>:</w:t>
      </w:r>
      <w:r w:rsidRPr="00F41176">
        <w:rPr>
          <w:b/>
          <w:bCs/>
        </w:rPr>
        <w:t xml:space="preserve"> </w:t>
      </w:r>
    </w:p>
    <w:p w14:paraId="68E824C0" w14:textId="77777777" w:rsidR="00D90B3F" w:rsidRDefault="00D90B3F" w:rsidP="00D90B3F">
      <w:pPr>
        <w:spacing w:after="0"/>
        <w:jc w:val="both"/>
        <w:rPr>
          <w:b/>
          <w:bCs/>
        </w:rPr>
      </w:pPr>
      <w:r w:rsidRPr="004554C3">
        <w:rPr>
          <w:b/>
          <w:bCs/>
        </w:rPr>
        <w:t xml:space="preserve">Support </w:t>
      </w:r>
      <w:r>
        <w:rPr>
          <w:b/>
          <w:bCs/>
        </w:rPr>
        <w:t xml:space="preserve">dynamic </w:t>
      </w:r>
      <w:r w:rsidRPr="004554C3">
        <w:rPr>
          <w:b/>
          <w:bCs/>
        </w:rPr>
        <w:t>indication by the IAB-node to its parent-node (via MAC-CE)</w:t>
      </w:r>
      <w:r>
        <w:rPr>
          <w:b/>
          <w:bCs/>
        </w:rPr>
        <w:t xml:space="preserve"> to </w:t>
      </w:r>
      <w:r w:rsidRPr="0071495E">
        <w:rPr>
          <w:b/>
          <w:bCs/>
        </w:rPr>
        <w:t>indicate whether the semi-static capability for enhanced multiplexing is applicable at the time.</w:t>
      </w:r>
    </w:p>
    <w:p w14:paraId="2CD6C4AD" w14:textId="77777777" w:rsidR="00D90B3F" w:rsidRDefault="00D90B3F" w:rsidP="00D90B3F">
      <w:pPr>
        <w:spacing w:after="0"/>
        <w:jc w:val="both"/>
        <w:rPr>
          <w:b/>
          <w:bCs/>
        </w:rPr>
      </w:pPr>
    </w:p>
    <w:p w14:paraId="4643DC0A" w14:textId="77777777" w:rsidR="00D90B3F" w:rsidRDefault="00D90B3F" w:rsidP="00D90B3F">
      <w:pPr>
        <w:spacing w:after="0"/>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345D5881" w14:textId="77777777" w:rsidR="00D90B3F" w:rsidRDefault="00D90B3F" w:rsidP="00D90B3F">
      <w:pPr>
        <w:spacing w:after="0"/>
        <w:jc w:val="both"/>
        <w:rPr>
          <w:b/>
          <w:bCs/>
        </w:rPr>
      </w:pPr>
    </w:p>
    <w:p w14:paraId="7C1923C7" w14:textId="77777777" w:rsidR="00D90B3F" w:rsidRPr="0071495E" w:rsidRDefault="00D90B3F" w:rsidP="00D90B3F">
      <w:pPr>
        <w:spacing w:after="0"/>
        <w:jc w:val="both"/>
        <w:rPr>
          <w:b/>
          <w:bCs/>
        </w:rPr>
      </w:pPr>
      <w:r>
        <w:rPr>
          <w:b/>
          <w:bCs/>
        </w:rPr>
        <w:t>Support indication of</w:t>
      </w:r>
      <w:r w:rsidRPr="0071495E">
        <w:rPr>
          <w:b/>
          <w:bCs/>
        </w:rPr>
        <w:t xml:space="preserve"> conditions required to realize the enhanced multiplexing capability</w:t>
      </w:r>
      <w:r>
        <w:rPr>
          <w:b/>
          <w:bCs/>
        </w:rPr>
        <w:t xml:space="preserve"> by the IAB-node to donor CU (via F1-AP) and/or parent node (via MAC-CE)</w:t>
      </w:r>
      <w:r w:rsidRPr="0071495E">
        <w:rPr>
          <w:b/>
          <w:bCs/>
        </w:rPr>
        <w:t>, such as</w:t>
      </w:r>
    </w:p>
    <w:p w14:paraId="6B7E7E1B" w14:textId="77777777" w:rsidR="00D90B3F" w:rsidRDefault="00D90B3F" w:rsidP="003806DE">
      <w:pPr>
        <w:pStyle w:val="ListParagraph"/>
        <w:numPr>
          <w:ilvl w:val="0"/>
          <w:numId w:val="1"/>
        </w:numPr>
        <w:spacing w:after="0"/>
        <w:jc w:val="both"/>
        <w:rPr>
          <w:b/>
          <w:bCs/>
        </w:rPr>
      </w:pPr>
      <w:r w:rsidRPr="004554C3">
        <w:rPr>
          <w:b/>
          <w:bCs/>
        </w:rPr>
        <w:t>Required timing mode,</w:t>
      </w:r>
    </w:p>
    <w:p w14:paraId="6EB8B28A" w14:textId="77777777" w:rsidR="00D90B3F" w:rsidRDefault="00D90B3F" w:rsidP="003806DE">
      <w:pPr>
        <w:pStyle w:val="ListParagraph"/>
        <w:numPr>
          <w:ilvl w:val="0"/>
          <w:numId w:val="1"/>
        </w:numPr>
        <w:spacing w:after="0"/>
        <w:jc w:val="both"/>
        <w:rPr>
          <w:b/>
          <w:bCs/>
        </w:rPr>
      </w:pPr>
      <w:r w:rsidRPr="004554C3">
        <w:rPr>
          <w:b/>
          <w:bCs/>
        </w:rPr>
        <w:t>DL RX/UL TX power constraints,</w:t>
      </w:r>
    </w:p>
    <w:p w14:paraId="3EA64527" w14:textId="77777777" w:rsidR="00D90B3F" w:rsidRDefault="00D90B3F" w:rsidP="003806DE">
      <w:pPr>
        <w:pStyle w:val="ListParagraph"/>
        <w:numPr>
          <w:ilvl w:val="0"/>
          <w:numId w:val="1"/>
        </w:numPr>
        <w:spacing w:after="0"/>
        <w:jc w:val="both"/>
        <w:rPr>
          <w:b/>
          <w:bCs/>
        </w:rPr>
      </w:pPr>
      <w:r w:rsidRPr="004554C3">
        <w:rPr>
          <w:b/>
          <w:bCs/>
        </w:rPr>
        <w:t>Required number of guard tones</w:t>
      </w:r>
      <w:r>
        <w:rPr>
          <w:b/>
          <w:bCs/>
        </w:rPr>
        <w:t xml:space="preserve"> for FDM</w:t>
      </w:r>
      <w:r w:rsidRPr="004554C3">
        <w:rPr>
          <w:b/>
          <w:bCs/>
        </w:rPr>
        <w:t>.</w:t>
      </w:r>
    </w:p>
    <w:p w14:paraId="0BB7CE1A" w14:textId="77777777" w:rsidR="00D90B3F" w:rsidRDefault="00D90B3F" w:rsidP="003806DE">
      <w:pPr>
        <w:pStyle w:val="ListParagraph"/>
        <w:numPr>
          <w:ilvl w:val="0"/>
          <w:numId w:val="1"/>
        </w:numPr>
        <w:spacing w:after="0"/>
        <w:jc w:val="both"/>
        <w:rPr>
          <w:b/>
          <w:bCs/>
        </w:rPr>
      </w:pPr>
      <w:r>
        <w:rPr>
          <w:b/>
          <w:bCs/>
        </w:rPr>
        <w:t>Required number of guard symbols for adaptation of enhanced multiplexing operation.</w:t>
      </w:r>
    </w:p>
    <w:p w14:paraId="256A6243" w14:textId="77777777" w:rsidR="00D90B3F" w:rsidRPr="004554C3" w:rsidRDefault="00D90B3F" w:rsidP="003806DE">
      <w:pPr>
        <w:pStyle w:val="ListParagraph"/>
        <w:numPr>
          <w:ilvl w:val="0"/>
          <w:numId w:val="1"/>
        </w:numPr>
        <w:spacing w:after="0"/>
        <w:jc w:val="both"/>
        <w:rPr>
          <w:b/>
          <w:bCs/>
        </w:rPr>
      </w:pPr>
      <w:r>
        <w:rPr>
          <w:b/>
          <w:bCs/>
        </w:rPr>
        <w:t xml:space="preserve">A set of applicable beam directions (SSBs/TRPs) or child nodes. </w:t>
      </w:r>
    </w:p>
    <w:p w14:paraId="7D485B42" w14:textId="77777777" w:rsidR="00D90B3F" w:rsidRDefault="00D90B3F" w:rsidP="00D90B3F">
      <w:pPr>
        <w:jc w:val="both"/>
        <w:rPr>
          <w:lang w:val="en-US"/>
        </w:rPr>
      </w:pPr>
    </w:p>
    <w:p w14:paraId="5BE1F8A6" w14:textId="77777777" w:rsidR="00D90B3F" w:rsidRDefault="00D90B3F" w:rsidP="00D90B3F">
      <w:pPr>
        <w:jc w:val="both"/>
        <w:rPr>
          <w:b/>
          <w:bCs/>
        </w:rPr>
      </w:pPr>
      <w:r>
        <w:rPr>
          <w:lang w:val="en-US"/>
        </w:rPr>
        <w:t xml:space="preserve">Since the interference can also be beam dependent, RAN1-104bis-e has agreed to support dynamic indication for restriction/usage/availability of beams. It can be anticipated that </w:t>
      </w:r>
      <w:r>
        <w:t xml:space="preserve">the enhanced multiplexing may not effectively be supported for some beam directions and/or for some combinations of the child-links and the parent-BH-links. The IAB-node can share this information with CU to let CU determine better resource configurations for the IAB-network, and donor CU can assign resource (H/S/NA) </w:t>
      </w:r>
      <w:r>
        <w:rPr>
          <w:lang w:val="en-US"/>
        </w:rPr>
        <w:t>in a beam-specific way to control interference between IAB-nodes.</w:t>
      </w:r>
    </w:p>
    <w:p w14:paraId="070CD3F2" w14:textId="77777777" w:rsidR="00D90B3F" w:rsidRDefault="00D90B3F" w:rsidP="00D90B3F">
      <w:pPr>
        <w:rPr>
          <w:lang w:val="en-US"/>
        </w:rPr>
      </w:pPr>
      <w:r w:rsidRPr="006B6628">
        <w:rPr>
          <w:b/>
          <w:bCs/>
          <w:u w:val="single"/>
          <w:lang w:val="en-US"/>
        </w:rPr>
        <w:t xml:space="preserve">Proposal </w:t>
      </w:r>
      <w:r>
        <w:rPr>
          <w:b/>
          <w:bCs/>
          <w:u w:val="single"/>
          <w:lang w:val="en-US"/>
        </w:rPr>
        <w:t>3.3</w:t>
      </w:r>
      <w:r w:rsidRPr="006B6628">
        <w:rPr>
          <w:b/>
          <w:bCs/>
          <w:u w:val="single"/>
          <w:lang w:val="en-US"/>
        </w:rPr>
        <w:t>:</w:t>
      </w:r>
      <w:r w:rsidRPr="006B6628">
        <w:rPr>
          <w:lang w:val="en-US"/>
        </w:rPr>
        <w:t xml:space="preserve"> </w:t>
      </w:r>
    </w:p>
    <w:p w14:paraId="122BA403" w14:textId="77777777" w:rsidR="00D90B3F" w:rsidRPr="00463868" w:rsidRDefault="00D90B3F" w:rsidP="00D90B3F">
      <w:pPr>
        <w:spacing w:after="0"/>
        <w:rPr>
          <w:b/>
          <w:bCs/>
          <w:lang w:val="en-US"/>
        </w:rPr>
      </w:pPr>
      <w:r w:rsidRPr="006B6628">
        <w:rPr>
          <w:b/>
          <w:bCs/>
          <w:lang w:val="en-US"/>
        </w:rPr>
        <w:t xml:space="preserve">Extend the </w:t>
      </w:r>
      <w:r>
        <w:rPr>
          <w:b/>
          <w:bCs/>
          <w:lang w:val="en-US"/>
        </w:rPr>
        <w:t>R</w:t>
      </w:r>
      <w:r w:rsidRPr="006B6628">
        <w:rPr>
          <w:b/>
          <w:bCs/>
          <w:lang w:val="en-US"/>
        </w:rPr>
        <w:t>el-16 DU resource management to spatial-domai</w:t>
      </w:r>
      <w:r>
        <w:rPr>
          <w:b/>
          <w:bCs/>
          <w:lang w:val="en-US"/>
        </w:rPr>
        <w:t xml:space="preserve">n by </w:t>
      </w:r>
      <w:r w:rsidRPr="00180C7A">
        <w:rPr>
          <w:b/>
          <w:bCs/>
        </w:rPr>
        <w:t xml:space="preserve">indicating </w:t>
      </w:r>
      <w:r w:rsidRPr="00180C7A">
        <w:rPr>
          <w:b/>
          <w:bCs/>
          <w:lang w:val="en-US"/>
        </w:rPr>
        <w:t xml:space="preserve">DU resource type (Hard/Soft/NA) per SSB area </w:t>
      </w:r>
      <w:r>
        <w:rPr>
          <w:b/>
          <w:bCs/>
          <w:lang w:val="en-US"/>
        </w:rPr>
        <w:t xml:space="preserve">or per TRP </w:t>
      </w:r>
      <w:r w:rsidRPr="00180C7A">
        <w:rPr>
          <w:b/>
          <w:bCs/>
          <w:lang w:val="en-US"/>
        </w:rPr>
        <w:t>or per child node</w:t>
      </w:r>
      <w:r>
        <w:rPr>
          <w:b/>
          <w:bCs/>
          <w:lang w:val="en-US"/>
        </w:rPr>
        <w:t xml:space="preserve"> </w:t>
      </w:r>
      <w:r w:rsidRPr="00180C7A">
        <w:rPr>
          <w:b/>
          <w:bCs/>
          <w:lang w:val="en-US"/>
        </w:rPr>
        <w:t>by donor CU to an IAB-node DU</w:t>
      </w:r>
      <w:r>
        <w:rPr>
          <w:b/>
          <w:bCs/>
          <w:lang w:val="en-US"/>
        </w:rPr>
        <w:t>.</w:t>
      </w:r>
    </w:p>
    <w:p w14:paraId="2F3FCA4D" w14:textId="77777777" w:rsidR="00D90B3F" w:rsidRDefault="00D90B3F" w:rsidP="00D90B3F">
      <w:pPr>
        <w:pStyle w:val="Heading2"/>
      </w:pPr>
      <w:r>
        <w:t>4. Multi-parent support for IAB in Rel-17</w:t>
      </w:r>
    </w:p>
    <w:p w14:paraId="3D40C331" w14:textId="77777777" w:rsidR="00D90B3F" w:rsidRDefault="00D90B3F" w:rsidP="00D90B3F">
      <w:r>
        <w:t xml:space="preserve">The following agreements have been made in RAN1-105e [2] regarding supporting multi-parent in IAB-network.  </w:t>
      </w:r>
    </w:p>
    <w:tbl>
      <w:tblPr>
        <w:tblStyle w:val="TableGrid"/>
        <w:tblW w:w="0" w:type="auto"/>
        <w:tblLook w:val="04A0" w:firstRow="1" w:lastRow="0" w:firstColumn="1" w:lastColumn="0" w:noHBand="0" w:noVBand="1"/>
      </w:tblPr>
      <w:tblGrid>
        <w:gridCol w:w="9629"/>
      </w:tblGrid>
      <w:tr w:rsidR="00D90B3F" w14:paraId="61B15952" w14:textId="77777777" w:rsidTr="00F7095E">
        <w:tc>
          <w:tcPr>
            <w:tcW w:w="9629" w:type="dxa"/>
          </w:tcPr>
          <w:p w14:paraId="788CF2C2" w14:textId="77777777" w:rsidR="00D90B3F" w:rsidRDefault="00D90B3F" w:rsidP="00F7095E">
            <w:pPr>
              <w:spacing w:after="0"/>
              <w:rPr>
                <w:lang w:eastAsia="x-none"/>
              </w:rPr>
            </w:pPr>
            <w:r w:rsidRPr="006A78E4">
              <w:rPr>
                <w:highlight w:val="green"/>
                <w:lang w:eastAsia="x-none"/>
              </w:rPr>
              <w:t>Agreements</w:t>
            </w:r>
            <w:r w:rsidRPr="006A78E4">
              <w:rPr>
                <w:lang w:eastAsia="x-none"/>
              </w:rPr>
              <w:t>:</w:t>
            </w:r>
          </w:p>
          <w:p w14:paraId="5249F303" w14:textId="77777777" w:rsidR="00D90B3F" w:rsidRPr="002F5E7C" w:rsidRDefault="00D90B3F" w:rsidP="00F7095E">
            <w:pPr>
              <w:spacing w:after="0"/>
              <w:rPr>
                <w:lang w:val="en-US" w:eastAsia="x-none"/>
              </w:rPr>
            </w:pPr>
            <w:r w:rsidRPr="002F5E7C">
              <w:rPr>
                <w:lang w:val="en-US" w:eastAsia="x-none"/>
              </w:rPr>
              <w:t>In case of intra-band inter-carrier dual connectivity for both inter-donor and intra-donor scenarios the following are supported:</w:t>
            </w:r>
          </w:p>
          <w:p w14:paraId="79FCA1B6" w14:textId="77777777" w:rsidR="00D90B3F" w:rsidRPr="002F5E7C" w:rsidRDefault="00D90B3F" w:rsidP="003806DE">
            <w:pPr>
              <w:numPr>
                <w:ilvl w:val="0"/>
                <w:numId w:val="8"/>
              </w:numPr>
              <w:spacing w:after="0"/>
              <w:rPr>
                <w:lang w:val="en-US" w:eastAsia="x-none"/>
              </w:rPr>
            </w:pPr>
            <w:r w:rsidRPr="002F5E7C">
              <w:rPr>
                <w:lang w:val="en-US" w:eastAsia="x-none"/>
              </w:rPr>
              <w:t xml:space="preserve">Reusing the Rel-16 CA TDD prioritization rules in case of UL/DL conflict when applicable </w:t>
            </w:r>
          </w:p>
          <w:p w14:paraId="6BD4CB56" w14:textId="77777777" w:rsidR="00D90B3F" w:rsidRPr="002F5E7C" w:rsidRDefault="00D90B3F" w:rsidP="003806DE">
            <w:pPr>
              <w:numPr>
                <w:ilvl w:val="1"/>
                <w:numId w:val="8"/>
              </w:numPr>
              <w:spacing w:after="0"/>
              <w:rPr>
                <w:lang w:val="en-US" w:eastAsia="x-none"/>
              </w:rPr>
            </w:pPr>
            <w:r w:rsidRPr="002F5E7C">
              <w:rPr>
                <w:lang w:val="en-US" w:eastAsia="x-none"/>
              </w:rPr>
              <w:t>FFS: Whether all prioritization rules apply in case of NR-DC</w:t>
            </w:r>
          </w:p>
          <w:p w14:paraId="5D8984C5" w14:textId="77777777" w:rsidR="00D90B3F" w:rsidRPr="002F5E7C" w:rsidRDefault="00D90B3F" w:rsidP="003806DE">
            <w:pPr>
              <w:numPr>
                <w:ilvl w:val="1"/>
                <w:numId w:val="8"/>
              </w:numPr>
              <w:spacing w:after="0"/>
              <w:rPr>
                <w:lang w:val="en-US" w:eastAsia="x-none"/>
              </w:rPr>
            </w:pPr>
            <w:r w:rsidRPr="002F5E7C">
              <w:rPr>
                <w:lang w:val="en-US" w:eastAsia="x-none"/>
              </w:rPr>
              <w:t>FFS: Need of new prioritization rules in case of NR-DC</w:t>
            </w:r>
          </w:p>
          <w:p w14:paraId="7FB7745F" w14:textId="77777777" w:rsidR="00D90B3F" w:rsidRPr="002F5E7C" w:rsidRDefault="00D90B3F" w:rsidP="003806DE">
            <w:pPr>
              <w:numPr>
                <w:ilvl w:val="0"/>
                <w:numId w:val="8"/>
              </w:numPr>
              <w:spacing w:after="0"/>
              <w:rPr>
                <w:lang w:val="en-US" w:eastAsia="x-none"/>
              </w:rPr>
            </w:pPr>
            <w:r w:rsidRPr="002F5E7C">
              <w:rPr>
                <w:lang w:val="en-US" w:eastAsia="x-none"/>
              </w:rPr>
              <w:t>Coordinating the IAB-MT’s TDD configurations to avoid conflicts from different parent nodes in case the child IAB-MT does not support simultaneous TX and RX on different carries</w:t>
            </w:r>
          </w:p>
          <w:p w14:paraId="3BF8558D" w14:textId="77777777" w:rsidR="00D90B3F" w:rsidRDefault="00D90B3F" w:rsidP="003806DE">
            <w:pPr>
              <w:numPr>
                <w:ilvl w:val="1"/>
                <w:numId w:val="8"/>
              </w:numPr>
              <w:spacing w:after="0"/>
              <w:rPr>
                <w:lang w:val="en-US" w:eastAsia="x-none"/>
              </w:rPr>
            </w:pPr>
            <w:r w:rsidRPr="002F5E7C">
              <w:rPr>
                <w:lang w:val="en-US" w:eastAsia="x-none"/>
              </w:rPr>
              <w:t>FFS: Coordination for scheduling conflicts involving at least DCI Format 2_0 usage (e.g. usage of flexible symbols)</w:t>
            </w:r>
          </w:p>
          <w:p w14:paraId="40F6D192" w14:textId="77777777" w:rsidR="00D90B3F" w:rsidRPr="002F5E7C" w:rsidRDefault="00D90B3F" w:rsidP="003806DE">
            <w:pPr>
              <w:numPr>
                <w:ilvl w:val="0"/>
                <w:numId w:val="8"/>
              </w:numPr>
              <w:spacing w:after="0"/>
              <w:rPr>
                <w:lang w:val="en-US" w:eastAsia="x-none"/>
              </w:rPr>
            </w:pPr>
            <w:r w:rsidRPr="002F5E7C">
              <w:rPr>
                <w:lang w:val="en-US" w:eastAsia="x-none"/>
              </w:rPr>
              <w:t>Exchanging H/S/NA configurations between parent nodes/donors</w:t>
            </w:r>
          </w:p>
          <w:p w14:paraId="57D2B597" w14:textId="77777777" w:rsidR="00D90B3F" w:rsidRDefault="00D90B3F" w:rsidP="00F7095E">
            <w:pPr>
              <w:spacing w:after="0"/>
              <w:rPr>
                <w:lang w:eastAsia="x-none"/>
              </w:rPr>
            </w:pPr>
          </w:p>
          <w:p w14:paraId="498D3CBE" w14:textId="77777777" w:rsidR="00D90B3F" w:rsidRPr="009D10D0" w:rsidRDefault="00D90B3F" w:rsidP="00F7095E">
            <w:pPr>
              <w:spacing w:after="0"/>
              <w:rPr>
                <w:b/>
                <w:bCs/>
                <w:lang w:eastAsia="x-none"/>
              </w:rPr>
            </w:pPr>
            <w:r w:rsidRPr="00DB2356">
              <w:rPr>
                <w:b/>
                <w:bCs/>
                <w:highlight w:val="green"/>
                <w:lang w:eastAsia="x-none"/>
              </w:rPr>
              <w:t>Agreement</w:t>
            </w:r>
          </w:p>
          <w:p w14:paraId="4A602B86" w14:textId="77777777" w:rsidR="00D90B3F" w:rsidRPr="00E136A2" w:rsidRDefault="00D90B3F" w:rsidP="00F7095E">
            <w:pPr>
              <w:spacing w:after="0"/>
              <w:rPr>
                <w:lang w:val="en-US" w:eastAsia="x-none"/>
              </w:rPr>
            </w:pPr>
            <w:r w:rsidRPr="00E136A2">
              <w:rPr>
                <w:lang w:eastAsia="x-none"/>
              </w:rPr>
              <w:t>Rel-16 CLI coordination signalling (Intended TDD DL-UL Configuration) is extended to support IAB specific UFD patterns.</w:t>
            </w:r>
          </w:p>
          <w:p w14:paraId="6672A019" w14:textId="77777777" w:rsidR="00D90B3F" w:rsidRPr="009D10D0" w:rsidRDefault="00D90B3F" w:rsidP="003806DE">
            <w:pPr>
              <w:pStyle w:val="ListParagraph"/>
              <w:numPr>
                <w:ilvl w:val="0"/>
                <w:numId w:val="9"/>
              </w:numPr>
              <w:spacing w:after="0"/>
              <w:rPr>
                <w:lang w:val="en-US" w:eastAsia="x-none"/>
              </w:rPr>
            </w:pPr>
            <w:r w:rsidRPr="00E136A2">
              <w:rPr>
                <w:lang w:eastAsia="x-none"/>
              </w:rPr>
              <w:t>FFS: Support the exchange of IAB-DU H/S/NA resource configuration information among neighbouring IAB-nodes/IAB-donors for CLI management purposes.</w:t>
            </w:r>
          </w:p>
          <w:p w14:paraId="5674D8EA" w14:textId="77777777" w:rsidR="00D90B3F" w:rsidRDefault="00D90B3F" w:rsidP="00F7095E">
            <w:pPr>
              <w:spacing w:after="0"/>
              <w:rPr>
                <w:lang w:val="en-US" w:eastAsia="x-none"/>
              </w:rPr>
            </w:pPr>
          </w:p>
          <w:p w14:paraId="5BB2702F" w14:textId="77777777" w:rsidR="00D90B3F" w:rsidRPr="009D10D0" w:rsidRDefault="00D90B3F" w:rsidP="00F7095E">
            <w:pPr>
              <w:spacing w:after="0"/>
              <w:rPr>
                <w:b/>
                <w:bCs/>
                <w:lang w:eastAsia="x-none"/>
              </w:rPr>
            </w:pPr>
            <w:r w:rsidRPr="00DB2356">
              <w:rPr>
                <w:b/>
                <w:bCs/>
                <w:highlight w:val="green"/>
                <w:lang w:eastAsia="x-none"/>
              </w:rPr>
              <w:t>Agreement</w:t>
            </w:r>
          </w:p>
          <w:p w14:paraId="6786997B" w14:textId="77777777" w:rsidR="00D90B3F" w:rsidRPr="00781128" w:rsidRDefault="00D90B3F" w:rsidP="00F7095E">
            <w:pPr>
              <w:spacing w:after="0"/>
              <w:rPr>
                <w:lang w:val="en-US" w:eastAsia="x-none"/>
              </w:rPr>
            </w:pPr>
            <w:r w:rsidRPr="00781128">
              <w:rPr>
                <w:lang w:val="en-US" w:eastAsia="x-none"/>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31BAFECB" w14:textId="77777777" w:rsidR="00D90B3F" w:rsidRPr="00781128" w:rsidRDefault="00D90B3F" w:rsidP="003806DE">
            <w:pPr>
              <w:numPr>
                <w:ilvl w:val="0"/>
                <w:numId w:val="10"/>
              </w:numPr>
              <w:spacing w:after="0"/>
              <w:rPr>
                <w:lang w:val="en-US" w:eastAsia="x-none"/>
              </w:rPr>
            </w:pPr>
            <w:r w:rsidRPr="00781128">
              <w:rPr>
                <w:lang w:val="en-US" w:eastAsia="x-none"/>
              </w:rPr>
              <w:t>If the IAB-DU per-cell soft resource neither explicitly indicated as Available, nor implicitly determined as Available by the IAB-DU with respect to at least one serving cell</w:t>
            </w:r>
          </w:p>
          <w:p w14:paraId="6DCD75EE" w14:textId="77777777" w:rsidR="00D90B3F" w:rsidRDefault="00D90B3F" w:rsidP="003806DE">
            <w:pPr>
              <w:numPr>
                <w:ilvl w:val="1"/>
                <w:numId w:val="10"/>
              </w:numPr>
              <w:spacing w:after="0"/>
              <w:rPr>
                <w:lang w:val="en-US" w:eastAsia="x-none"/>
              </w:rPr>
            </w:pPr>
            <w:r w:rsidRPr="00781128">
              <w:rPr>
                <w:lang w:val="en-US" w:eastAsia="x-none"/>
              </w:rPr>
              <w:t>Alt 1. The IAB-DU per-cell resource is assumed to be not available</w:t>
            </w:r>
          </w:p>
          <w:p w14:paraId="7E321089" w14:textId="77777777" w:rsidR="00D90B3F" w:rsidRPr="00781128" w:rsidRDefault="00D90B3F" w:rsidP="003806DE">
            <w:pPr>
              <w:numPr>
                <w:ilvl w:val="0"/>
                <w:numId w:val="10"/>
              </w:numPr>
              <w:spacing w:after="0"/>
              <w:rPr>
                <w:lang w:val="en-US" w:eastAsia="x-none"/>
              </w:rPr>
            </w:pPr>
            <w:r w:rsidRPr="00781128">
              <w:rPr>
                <w:lang w:val="en-US" w:eastAsia="x-none"/>
              </w:rPr>
              <w:t>This agreement does not necessarily mean the Rel-16 spec does not support what is described in the main bullet</w:t>
            </w:r>
          </w:p>
        </w:tc>
      </w:tr>
    </w:tbl>
    <w:p w14:paraId="6BBC7AE0" w14:textId="77777777" w:rsidR="00D90B3F" w:rsidRDefault="00D90B3F" w:rsidP="00D90B3F"/>
    <w:p w14:paraId="38C2C648" w14:textId="77777777" w:rsidR="00D90B3F" w:rsidRDefault="00D90B3F" w:rsidP="00D90B3F">
      <w:pPr>
        <w:pStyle w:val="Heading3"/>
      </w:pPr>
      <w:r>
        <w:lastRenderedPageBreak/>
        <w:t>4.1 Supporting TDD conflict resolution for NR-DC</w:t>
      </w:r>
    </w:p>
    <w:p w14:paraId="233D8902" w14:textId="77777777" w:rsidR="00D90B3F" w:rsidRDefault="00D90B3F" w:rsidP="00D90B3F">
      <w:r>
        <w:t xml:space="preserve">To support multi-parent in IAB-network via intra-band NR-DC, it was agreed in RAN1-105e to reuse Rel-16 CA TDD prioritization rules in case of DL/UL conflict to intra-band inter-carrier NR-DC operation when applicable, and it needs further discussion on whether all prioritization rules are applicable or new rules need to be defined for NR-DC. The following are our observations on Rel-16 CA TDD prioritization rules defined in TS 38.213 [3].  </w:t>
      </w:r>
    </w:p>
    <w:p w14:paraId="0ABDC4D5" w14:textId="77777777" w:rsidR="00D90B3F" w:rsidRDefault="00D90B3F" w:rsidP="00D90B3F">
      <w:pPr>
        <w:rPr>
          <w:b/>
          <w:bCs/>
          <w:u w:val="single"/>
          <w:lang w:eastAsia="zh-CN"/>
        </w:rPr>
      </w:pPr>
      <w:r>
        <w:rPr>
          <w:b/>
          <w:bCs/>
          <w:u w:val="single"/>
          <w:lang w:eastAsia="zh-CN"/>
        </w:rPr>
        <w:t>Observation 4.1</w:t>
      </w:r>
      <w:r w:rsidRPr="00D24022">
        <w:rPr>
          <w:b/>
          <w:bCs/>
          <w:u w:val="single"/>
          <w:lang w:eastAsia="zh-CN"/>
        </w:rPr>
        <w:t>:</w:t>
      </w:r>
    </w:p>
    <w:p w14:paraId="2D34CE36" w14:textId="77777777" w:rsidR="00D90B3F" w:rsidRDefault="00D90B3F" w:rsidP="00D90B3F">
      <w:pPr>
        <w:rPr>
          <w:b/>
          <w:bCs/>
        </w:rPr>
      </w:pPr>
      <w:r w:rsidRPr="00880B88">
        <w:rPr>
          <w:b/>
          <w:bCs/>
        </w:rPr>
        <w:t xml:space="preserve">In Rel16, the CA TDD prioritization rules are defined only for the case </w:t>
      </w:r>
      <w:r>
        <w:rPr>
          <w:b/>
          <w:bCs/>
        </w:rPr>
        <w:t>when</w:t>
      </w:r>
      <w:r w:rsidRPr="00880B88">
        <w:rPr>
          <w:b/>
          <w:bCs/>
        </w:rPr>
        <w:t xml:space="preserve"> DCI2_0 is not configured for a UE, and it is stated in the spec that UE does not expect any directional collision among serving cells after applying the procedure.</w:t>
      </w:r>
    </w:p>
    <w:p w14:paraId="5DD7B53F" w14:textId="77777777" w:rsidR="00D90B3F" w:rsidRDefault="00D90B3F" w:rsidP="00D90B3F">
      <w:pPr>
        <w:rPr>
          <w:b/>
          <w:bCs/>
          <w:u w:val="single"/>
          <w:lang w:eastAsia="zh-CN"/>
        </w:rPr>
      </w:pPr>
      <w:r>
        <w:rPr>
          <w:b/>
          <w:bCs/>
          <w:u w:val="single"/>
          <w:lang w:eastAsia="zh-CN"/>
        </w:rPr>
        <w:t>Observation 4.2</w:t>
      </w:r>
      <w:r w:rsidRPr="00D24022">
        <w:rPr>
          <w:b/>
          <w:bCs/>
          <w:u w:val="single"/>
          <w:lang w:eastAsia="zh-CN"/>
        </w:rPr>
        <w:t>:</w:t>
      </w:r>
    </w:p>
    <w:p w14:paraId="3751249A" w14:textId="77777777" w:rsidR="00D90B3F" w:rsidRDefault="00D90B3F" w:rsidP="00D90B3F">
      <w:pPr>
        <w:rPr>
          <w:b/>
          <w:bCs/>
          <w:lang w:val="en-US"/>
        </w:rPr>
      </w:pPr>
      <w:r w:rsidRPr="006059D8">
        <w:rPr>
          <w:b/>
          <w:bCs/>
          <w:lang w:val="en-US"/>
        </w:rPr>
        <w:t>In Rel16, the CA TDD prioritization rules can be divided into two sets</w:t>
      </w:r>
    </w:p>
    <w:p w14:paraId="3EF6054E" w14:textId="77777777" w:rsidR="00D90B3F" w:rsidRDefault="00D90B3F" w:rsidP="003806DE">
      <w:pPr>
        <w:pStyle w:val="ListParagraph"/>
        <w:numPr>
          <w:ilvl w:val="0"/>
          <w:numId w:val="9"/>
        </w:numPr>
        <w:rPr>
          <w:b/>
          <w:bCs/>
          <w:lang w:val="en-US"/>
        </w:rPr>
      </w:pPr>
      <w:r w:rsidRPr="003C030D">
        <w:rPr>
          <w:b/>
          <w:bCs/>
          <w:lang w:val="en-US"/>
        </w:rPr>
        <w:t>Set1 for confliction avoidance</w:t>
      </w:r>
      <w:r>
        <w:rPr>
          <w:b/>
          <w:bCs/>
          <w:lang w:val="en-US"/>
        </w:rPr>
        <w:t>, wherein</w:t>
      </w:r>
      <w:r w:rsidRPr="003C030D">
        <w:rPr>
          <w:b/>
          <w:bCs/>
          <w:lang w:val="en-US"/>
        </w:rPr>
        <w:t xml:space="preserve"> rules</w:t>
      </w:r>
      <w:r>
        <w:rPr>
          <w:b/>
          <w:bCs/>
          <w:lang w:val="en-US"/>
        </w:rPr>
        <w:t xml:space="preserve"> are</w:t>
      </w:r>
      <w:r w:rsidRPr="003C030D">
        <w:rPr>
          <w:b/>
          <w:bCs/>
          <w:lang w:val="en-US"/>
        </w:rPr>
        <w:t xml:space="preserve"> defined as “</w:t>
      </w:r>
      <w:r w:rsidRPr="00EB651B">
        <w:rPr>
          <w:b/>
          <w:bCs/>
          <w:i/>
          <w:iCs/>
          <w:lang w:val="en-US"/>
        </w:rPr>
        <w:t>UE does not expect …</w:t>
      </w:r>
      <w:r w:rsidRPr="00EB651B">
        <w:rPr>
          <w:b/>
          <w:bCs/>
          <w:lang w:val="en-US"/>
        </w:rPr>
        <w:t>.</w:t>
      </w:r>
      <w:r>
        <w:rPr>
          <w:b/>
          <w:bCs/>
          <w:lang w:val="en-US"/>
        </w:rPr>
        <w:t xml:space="preserve">” over </w:t>
      </w:r>
      <w:r w:rsidRPr="003C030D">
        <w:rPr>
          <w:b/>
          <w:bCs/>
          <w:lang w:val="en-US"/>
        </w:rPr>
        <w:t xml:space="preserve">a </w:t>
      </w:r>
      <w:r>
        <w:rPr>
          <w:b/>
          <w:bCs/>
          <w:lang w:val="en-US"/>
        </w:rPr>
        <w:t xml:space="preserve">potential </w:t>
      </w:r>
      <w:r w:rsidRPr="003C030D">
        <w:rPr>
          <w:b/>
          <w:bCs/>
          <w:lang w:val="en-US"/>
        </w:rPr>
        <w:t xml:space="preserve">conflicting scenario. These rules impose constraint on </w:t>
      </w:r>
      <w:proofErr w:type="spellStart"/>
      <w:r w:rsidRPr="003C030D">
        <w:rPr>
          <w:b/>
          <w:bCs/>
          <w:lang w:val="en-US"/>
        </w:rPr>
        <w:t>gNB’s</w:t>
      </w:r>
      <w:proofErr w:type="spellEnd"/>
      <w:r w:rsidRPr="003C030D">
        <w:rPr>
          <w:b/>
          <w:bCs/>
          <w:lang w:val="en-US"/>
        </w:rPr>
        <w:t xml:space="preserve"> resource configuration or MAC scheduler to avoid specified conflicting scenario.</w:t>
      </w:r>
    </w:p>
    <w:p w14:paraId="7F36679C" w14:textId="77777777" w:rsidR="00D90B3F" w:rsidRPr="003C030D" w:rsidRDefault="00D90B3F" w:rsidP="003806DE">
      <w:pPr>
        <w:pStyle w:val="ListParagraph"/>
        <w:numPr>
          <w:ilvl w:val="0"/>
          <w:numId w:val="9"/>
        </w:numPr>
        <w:rPr>
          <w:b/>
          <w:bCs/>
          <w:lang w:val="en-US"/>
        </w:rPr>
      </w:pPr>
      <w:r w:rsidRPr="00EB4DDB">
        <w:rPr>
          <w:b/>
          <w:bCs/>
        </w:rPr>
        <w:t>Set2 for confliction resolution</w:t>
      </w:r>
      <w:r>
        <w:rPr>
          <w:b/>
          <w:bCs/>
        </w:rPr>
        <w:t>,</w:t>
      </w:r>
      <w:r w:rsidRPr="00EB4DDB">
        <w:rPr>
          <w:b/>
          <w:bCs/>
        </w:rPr>
        <w:t xml:space="preserve"> </w:t>
      </w:r>
      <w:r>
        <w:rPr>
          <w:b/>
          <w:bCs/>
        </w:rPr>
        <w:t>wherein</w:t>
      </w:r>
      <w:r w:rsidRPr="00EB4DDB">
        <w:rPr>
          <w:b/>
          <w:bCs/>
        </w:rPr>
        <w:t xml:space="preserve"> rules </w:t>
      </w:r>
      <w:r>
        <w:rPr>
          <w:b/>
          <w:bCs/>
        </w:rPr>
        <w:t xml:space="preserve">are </w:t>
      </w:r>
      <w:r w:rsidRPr="00EB4DDB">
        <w:rPr>
          <w:b/>
          <w:bCs/>
        </w:rPr>
        <w:t>defined for UE to select one operation over the other operation</w:t>
      </w:r>
      <w:r>
        <w:rPr>
          <w:b/>
          <w:bCs/>
        </w:rPr>
        <w:t xml:space="preserve"> when a confliction scenario occurs</w:t>
      </w:r>
      <w:r w:rsidRPr="00EB4DDB">
        <w:rPr>
          <w:b/>
          <w:bCs/>
        </w:rPr>
        <w:t>.</w:t>
      </w:r>
    </w:p>
    <w:p w14:paraId="6531C98D" w14:textId="77777777" w:rsidR="00D90B3F" w:rsidRDefault="00D90B3F" w:rsidP="00D90B3F">
      <w:r>
        <w:t xml:space="preserve">It can be seen that set2 rules of confliction resolution can be reused to NR-DC, because the rules are about UE’s behavior on selection of TX or RX in case of confliction, which can be adopted regardless whether the confliction occurs in CA or NR-DC. </w:t>
      </w:r>
    </w:p>
    <w:p w14:paraId="420E060E" w14:textId="77777777" w:rsidR="00D90B3F" w:rsidRDefault="00D90B3F" w:rsidP="00D90B3F">
      <w:r>
        <w:t xml:space="preserve">For set1 rules of confliction avoidance, they rely on </w:t>
      </w:r>
      <w:proofErr w:type="spellStart"/>
      <w:r>
        <w:t>gNB’s</w:t>
      </w:r>
      <w:proofErr w:type="spellEnd"/>
      <w:r>
        <w:t xml:space="preserve"> proper resource configuration and/or MAC scheduler’s proper behaviour to avoid a specific conflicting scenario. The key question for NR-DC is whether any of these rules can be achieved in </w:t>
      </w:r>
      <w:r w:rsidRPr="0027618D">
        <w:rPr>
          <w:b/>
          <w:bCs/>
        </w:rPr>
        <w:t>NR-DC with two independent MAC-schedulers</w:t>
      </w:r>
      <w:r>
        <w:t xml:space="preserve"> at two parent nodes which may belong to same or different donor CUs.</w:t>
      </w:r>
    </w:p>
    <w:p w14:paraId="2F0B2D24" w14:textId="71592FE3" w:rsidR="00D90B3F" w:rsidRDefault="00F21745" w:rsidP="003806DE">
      <w:pPr>
        <w:pStyle w:val="ListParagraph"/>
        <w:numPr>
          <w:ilvl w:val="0"/>
          <w:numId w:val="11"/>
        </w:numPr>
      </w:pPr>
      <w:r>
        <w:t>E.g.,</w:t>
      </w:r>
      <w:r w:rsidR="00D90B3F">
        <w:t xml:space="preserve"> For the rule of “</w:t>
      </w:r>
      <w:r w:rsidR="00D90B3F" w:rsidRPr="00FA70BE">
        <w:rPr>
          <w:i/>
          <w:iCs/>
        </w:rPr>
        <w:t>the UE</w:t>
      </w:r>
      <w:r w:rsidR="00D90B3F" w:rsidRPr="003F549D">
        <w:t xml:space="preserve"> </w:t>
      </w:r>
      <w:r w:rsidR="00D90B3F" w:rsidRPr="00FA70BE">
        <w:rPr>
          <w:i/>
          <w:iCs/>
        </w:rPr>
        <w:t>does not expect to detect a first DCI format scheduling a transmission or reception on a symbol on a first cell and a second DCI format scheduling a reception or transmission on the symbol on a second cell, respectively</w:t>
      </w:r>
      <w:r w:rsidR="00D90B3F" w:rsidRPr="003F549D">
        <w:t>”</w:t>
      </w:r>
      <w:r w:rsidR="00D90B3F">
        <w:t xml:space="preserve">, it can be achieved easily in CA case with a single MAC scheduler, wherein the MAC scheduler can be constrained not to make dynamic scheduling of communications over two cells with conflicting DL/UL directions on the same symbol. But for NR-DC with two MAC schedulers, this rule may not be achievable without resource coordination between parent/donor CUs. </w:t>
      </w:r>
    </w:p>
    <w:p w14:paraId="5ACF80B0" w14:textId="77777777" w:rsidR="00D90B3F" w:rsidRDefault="00D90B3F" w:rsidP="003806DE">
      <w:pPr>
        <w:pStyle w:val="ListParagraph"/>
        <w:numPr>
          <w:ilvl w:val="0"/>
          <w:numId w:val="11"/>
        </w:numPr>
      </w:pPr>
      <w:r>
        <w:t xml:space="preserve">It can be seen that the reuse of Rel-16 CA TDD prioritization rules to NR-DC can be possible if the required resource coordination between Donor CUs to avoid the specified confliction scenarios is supported. A few example approaches are listed below:  </w:t>
      </w:r>
    </w:p>
    <w:p w14:paraId="6588CC22" w14:textId="77777777" w:rsidR="00D90B3F" w:rsidRDefault="00D90B3F" w:rsidP="003806DE">
      <w:pPr>
        <w:pStyle w:val="ListParagraph"/>
        <w:numPr>
          <w:ilvl w:val="1"/>
          <w:numId w:val="11"/>
        </w:numPr>
      </w:pPr>
      <w:r>
        <w:t>Exchanging “</w:t>
      </w:r>
      <w:r w:rsidRPr="00280CCA">
        <w:rPr>
          <w:i/>
          <w:iCs/>
        </w:rPr>
        <w:t>intended TDD DL-UL configuration</w:t>
      </w:r>
      <w:r>
        <w:t>” between parent nodes via Donor CU(s) to align semi-static TDD DL/UL configurations and/or DCI2_0 between two parent nodes.</w:t>
      </w:r>
    </w:p>
    <w:p w14:paraId="4C0C1948" w14:textId="77777777" w:rsidR="00D90B3F" w:rsidRDefault="00D90B3F" w:rsidP="003806DE">
      <w:pPr>
        <w:pStyle w:val="ListParagraph"/>
        <w:numPr>
          <w:ilvl w:val="1"/>
          <w:numId w:val="11"/>
        </w:numPr>
      </w:pPr>
      <w:r>
        <w:t>Exchanging “</w:t>
      </w:r>
      <w:proofErr w:type="spellStart"/>
      <w:r w:rsidRPr="00252D9F">
        <w:rPr>
          <w:i/>
          <w:iCs/>
          <w:lang w:val="en-US"/>
        </w:rPr>
        <w:t>gNB</w:t>
      </w:r>
      <w:proofErr w:type="spellEnd"/>
      <w:r w:rsidRPr="00252D9F">
        <w:rPr>
          <w:i/>
          <w:iCs/>
          <w:lang w:val="en-US"/>
        </w:rPr>
        <w:t>-DU cell resource configuration</w:t>
      </w:r>
      <w:r>
        <w:rPr>
          <w:i/>
          <w:iCs/>
          <w:lang w:val="en-US"/>
        </w:rPr>
        <w:t>”</w:t>
      </w:r>
      <w:r>
        <w:rPr>
          <w:lang w:val="en-US"/>
        </w:rPr>
        <w:t xml:space="preserve"> </w:t>
      </w:r>
      <w:r>
        <w:t>between parent nodes via Donor CU(s) to configure non-overlapping Hard/Soft resources between two parent nodes at least over semi-static flexible resources.</w:t>
      </w:r>
    </w:p>
    <w:p w14:paraId="0732AC56" w14:textId="77777777" w:rsidR="00D90B3F" w:rsidRDefault="00D90B3F" w:rsidP="00D90B3F">
      <w:r>
        <w:t>Given that Rel-16 TDD prioritization rules in TS 38.213 are already very complicated, we propose to reuse Rel-16 CA TDD prioritization rules to NR-DC and rely on proper resource coordination between parents/Donors for achieving these rules.</w:t>
      </w:r>
    </w:p>
    <w:p w14:paraId="3E0A162A" w14:textId="77777777" w:rsidR="00D90B3F" w:rsidRDefault="00D90B3F" w:rsidP="00D90B3F">
      <w:pPr>
        <w:rPr>
          <w:b/>
          <w:u w:val="single"/>
          <w:lang w:eastAsia="zh-CN"/>
        </w:rPr>
      </w:pPr>
      <w:r>
        <w:rPr>
          <w:b/>
          <w:bCs/>
          <w:u w:val="single"/>
          <w:lang w:eastAsia="zh-CN"/>
        </w:rPr>
        <w:t>Observation 4.3</w:t>
      </w:r>
      <w:r w:rsidRPr="00D24022">
        <w:rPr>
          <w:b/>
          <w:bCs/>
          <w:u w:val="single"/>
          <w:lang w:eastAsia="zh-CN"/>
        </w:rPr>
        <w:t>:</w:t>
      </w:r>
      <w:r>
        <w:t xml:space="preserve">    </w:t>
      </w:r>
      <w:r w:rsidRPr="009F2B53">
        <w:rPr>
          <w:i/>
          <w:iCs/>
          <w:lang w:val="en-US"/>
        </w:rPr>
        <w:t xml:space="preserve"> </w:t>
      </w:r>
      <w:r>
        <w:t xml:space="preserve">        </w:t>
      </w:r>
    </w:p>
    <w:p w14:paraId="24012892" w14:textId="77777777" w:rsidR="00D90B3F" w:rsidRPr="00183606" w:rsidRDefault="00D90B3F" w:rsidP="00D90B3F">
      <w:pPr>
        <w:rPr>
          <w:b/>
          <w:bCs/>
        </w:rPr>
      </w:pPr>
      <w:r w:rsidRPr="00183606">
        <w:rPr>
          <w:b/>
          <w:bCs/>
        </w:rPr>
        <w:t>The reuse of Rel-16 CA TDD prioritization rules to NR-DC can be possible if the required resource</w:t>
      </w:r>
      <w:r>
        <w:rPr>
          <w:b/>
          <w:bCs/>
        </w:rPr>
        <w:t xml:space="preserve"> </w:t>
      </w:r>
      <w:r w:rsidRPr="00183606">
        <w:rPr>
          <w:b/>
          <w:bCs/>
        </w:rPr>
        <w:t xml:space="preserve">coordination between Donor CUs to avoid the specified confliction scenarios </w:t>
      </w:r>
      <w:r>
        <w:rPr>
          <w:b/>
          <w:bCs/>
        </w:rPr>
        <w:t>is</w:t>
      </w:r>
      <w:r w:rsidRPr="00183606">
        <w:rPr>
          <w:b/>
          <w:bCs/>
        </w:rPr>
        <w:t xml:space="preserve"> supported.</w:t>
      </w:r>
    </w:p>
    <w:p w14:paraId="5B7E1E50" w14:textId="77777777" w:rsidR="00D90B3F" w:rsidRDefault="00D90B3F" w:rsidP="00D90B3F">
      <w:pPr>
        <w:rPr>
          <w:b/>
          <w:bCs/>
          <w:u w:val="single"/>
          <w:lang w:eastAsia="zh-CN"/>
        </w:rPr>
      </w:pPr>
      <w:r>
        <w:rPr>
          <w:b/>
          <w:bCs/>
          <w:u w:val="single"/>
          <w:lang w:eastAsia="zh-CN"/>
        </w:rPr>
        <w:t>Proposal 4.1</w:t>
      </w:r>
      <w:r w:rsidRPr="00D24022">
        <w:rPr>
          <w:b/>
          <w:bCs/>
          <w:u w:val="single"/>
          <w:lang w:eastAsia="zh-CN"/>
        </w:rPr>
        <w:t>:</w:t>
      </w:r>
    </w:p>
    <w:p w14:paraId="105DC286" w14:textId="77777777" w:rsidR="00D90B3F" w:rsidRPr="00A509F3" w:rsidRDefault="00D90B3F" w:rsidP="00D90B3F">
      <w:pPr>
        <w:rPr>
          <w:b/>
          <w:bCs/>
          <w:lang w:val="en-US"/>
        </w:rPr>
      </w:pPr>
      <w:r w:rsidRPr="00A509F3">
        <w:rPr>
          <w:b/>
          <w:bCs/>
          <w:lang w:val="en-US"/>
        </w:rPr>
        <w:t xml:space="preserve">To minimize spec impact, support of reusing CA TDD prioritization rules to NR-DC and rely on proper resource coordination between parents/Donors for achieving these rules. </w:t>
      </w:r>
    </w:p>
    <w:p w14:paraId="77FC51E3" w14:textId="77777777" w:rsidR="00D90B3F" w:rsidRPr="00A509F3" w:rsidRDefault="00D90B3F" w:rsidP="003806DE">
      <w:pPr>
        <w:pStyle w:val="ListParagraph"/>
        <w:numPr>
          <w:ilvl w:val="0"/>
          <w:numId w:val="12"/>
        </w:numPr>
      </w:pPr>
      <w:r w:rsidRPr="00A509F3">
        <w:rPr>
          <w:b/>
          <w:bCs/>
          <w:lang w:val="en-US"/>
        </w:rPr>
        <w:t>FFS: resource coordination messages</w:t>
      </w:r>
    </w:p>
    <w:p w14:paraId="25DE6F0C" w14:textId="77777777" w:rsidR="00D90B3F" w:rsidRDefault="00D90B3F" w:rsidP="00D90B3F">
      <w:pPr>
        <w:overflowPunct/>
        <w:autoSpaceDE/>
        <w:autoSpaceDN/>
        <w:adjustRightInd/>
        <w:spacing w:after="0"/>
        <w:textAlignment w:val="auto"/>
        <w:rPr>
          <w:lang w:val="en-US"/>
        </w:rPr>
      </w:pPr>
      <w:r>
        <w:rPr>
          <w:lang w:val="en-US"/>
        </w:rPr>
        <w:lastRenderedPageBreak/>
        <w:t xml:space="preserve">For a dual-connected UE/MT in FR2 or higher band, due to analog beam constraint, the UE/MT may not have the capability </w:t>
      </w:r>
      <w:bookmarkStart w:id="2" w:name="_Hlk71624571"/>
      <w:r>
        <w:rPr>
          <w:lang w:val="en-US"/>
        </w:rPr>
        <w:t>to simultaneously receive from two parent nodes and/or simultaneously transmit to two parent nodes</w:t>
      </w:r>
      <w:bookmarkEnd w:id="2"/>
      <w:r>
        <w:rPr>
          <w:lang w:val="en-US"/>
        </w:rPr>
        <w:t>. In this case, TDM resource management between two parent links may be required and related rules for potential conflict resolution may also be needed.</w:t>
      </w:r>
    </w:p>
    <w:p w14:paraId="6156E351" w14:textId="77777777" w:rsidR="00D90B3F" w:rsidRDefault="00D90B3F" w:rsidP="00D90B3F">
      <w:pPr>
        <w:overflowPunct/>
        <w:autoSpaceDE/>
        <w:autoSpaceDN/>
        <w:adjustRightInd/>
        <w:spacing w:after="0"/>
        <w:textAlignment w:val="auto"/>
        <w:rPr>
          <w:lang w:val="en-US"/>
        </w:rPr>
      </w:pPr>
    </w:p>
    <w:p w14:paraId="5D5B90F6" w14:textId="77777777" w:rsidR="00D90B3F" w:rsidRDefault="00D90B3F" w:rsidP="00D90B3F">
      <w:r>
        <w:rPr>
          <w:b/>
          <w:bCs/>
          <w:u w:val="single"/>
          <w:lang w:eastAsia="zh-CN"/>
        </w:rPr>
        <w:t>Observation 4.4</w:t>
      </w:r>
      <w:r w:rsidRPr="00D24022">
        <w:rPr>
          <w:b/>
          <w:bCs/>
          <w:u w:val="single"/>
          <w:lang w:eastAsia="zh-CN"/>
        </w:rPr>
        <w:t>:</w:t>
      </w:r>
    </w:p>
    <w:p w14:paraId="1CD514D8" w14:textId="77777777" w:rsidR="00D90B3F" w:rsidRDefault="00D90B3F" w:rsidP="00D90B3F">
      <w:pPr>
        <w:overflowPunct/>
        <w:autoSpaceDE/>
        <w:autoSpaceDN/>
        <w:adjustRightInd/>
        <w:spacing w:after="0"/>
        <w:textAlignment w:val="auto"/>
        <w:rPr>
          <w:lang w:val="en-US"/>
        </w:rPr>
      </w:pPr>
      <w:r>
        <w:rPr>
          <w:b/>
          <w:bCs/>
        </w:rPr>
        <w:t xml:space="preserve">In FR2 or higher band, due to </w:t>
      </w:r>
      <w:proofErr w:type="spellStart"/>
      <w:r>
        <w:rPr>
          <w:b/>
          <w:bCs/>
        </w:rPr>
        <w:t>analog</w:t>
      </w:r>
      <w:proofErr w:type="spellEnd"/>
      <w:r>
        <w:rPr>
          <w:b/>
          <w:bCs/>
        </w:rPr>
        <w:t xml:space="preserve"> beam constraint, a dual-connected UE/MT may not have the capability </w:t>
      </w:r>
      <w:r w:rsidRPr="00F574E8">
        <w:rPr>
          <w:b/>
          <w:bCs/>
          <w:lang w:val="en-US"/>
        </w:rPr>
        <w:t>to simultaneously receive from two parent nodes and/or simultaneously transmit to two parent nodes</w:t>
      </w:r>
      <w:r>
        <w:rPr>
          <w:b/>
          <w:bCs/>
          <w:lang w:val="en-US"/>
        </w:rPr>
        <w:t>, and the impact to support multiple-parent in IAB needs to be investigated</w:t>
      </w:r>
      <w:r>
        <w:rPr>
          <w:b/>
          <w:bCs/>
        </w:rPr>
        <w:t>.</w:t>
      </w:r>
      <w:r>
        <w:rPr>
          <w:lang w:val="en-US"/>
        </w:rPr>
        <w:t xml:space="preserve">   </w:t>
      </w:r>
    </w:p>
    <w:p w14:paraId="358D7664" w14:textId="77777777" w:rsidR="00D90B3F" w:rsidRPr="00083221" w:rsidRDefault="00D90B3F" w:rsidP="00D90B3F">
      <w:pPr>
        <w:overflowPunct/>
        <w:autoSpaceDE/>
        <w:autoSpaceDN/>
        <w:adjustRightInd/>
        <w:spacing w:after="0"/>
        <w:textAlignment w:val="auto"/>
        <w:rPr>
          <w:lang w:val="en-US"/>
        </w:rPr>
      </w:pPr>
    </w:p>
    <w:p w14:paraId="0F039E97" w14:textId="77777777" w:rsidR="00D90B3F" w:rsidRDefault="00D90B3F" w:rsidP="00D90B3F">
      <w:pPr>
        <w:pStyle w:val="Heading3"/>
        <w:rPr>
          <w:lang w:val="en-US"/>
        </w:rPr>
      </w:pPr>
      <w:r>
        <w:rPr>
          <w:lang w:val="en-US"/>
        </w:rPr>
        <w:t>4.2 Extension of soft resource management for NR-DC</w:t>
      </w:r>
    </w:p>
    <w:p w14:paraId="18E7CC8B" w14:textId="77777777" w:rsidR="00D90B3F" w:rsidRDefault="00D90B3F" w:rsidP="00D90B3F">
      <w:pPr>
        <w:rPr>
          <w:lang w:val="en-US" w:eastAsia="x-none"/>
        </w:rPr>
      </w:pPr>
      <w:r>
        <w:rPr>
          <w:lang w:val="en-US"/>
        </w:rPr>
        <w:t xml:space="preserve">With agreement in RAN1-105e, the soft resource management is extended to NR-DC by emphasizing that the availability of a soft resource at an IAB-DU cell should be determined </w:t>
      </w:r>
      <w:r w:rsidRPr="00781128">
        <w:rPr>
          <w:lang w:val="en-US" w:eastAsia="x-none"/>
        </w:rPr>
        <w:t>with respect to all serving cells</w:t>
      </w:r>
      <w:r>
        <w:rPr>
          <w:lang w:val="en-US" w:eastAsia="x-none"/>
        </w:rPr>
        <w:t xml:space="preserve"> of IAB-MT. One question can be about whether the explicit availability indication received by a DCI2_5 from one parent node shall be regarded as indication of availability with respect to all serving cells of IAB-MT or only with respect to the serving cells of IAB-MT in the cell group associated with this parent node. In our view, the DCI2_5 received from a parent node is dynamically determined by this parent node, which may not have any coordination with another parent node and may not reflect the scheduling decision of another parent node. To avoid confusion on potential different interpretations, we propose to make this point clearly stated in the spec. </w:t>
      </w:r>
    </w:p>
    <w:p w14:paraId="0F9EA121" w14:textId="77777777" w:rsidR="00D90B3F" w:rsidRDefault="00D90B3F" w:rsidP="00D90B3F">
      <w:pPr>
        <w:rPr>
          <w:b/>
          <w:bCs/>
          <w:u w:val="single"/>
          <w:lang w:val="en-US" w:eastAsia="x-none"/>
        </w:rPr>
      </w:pPr>
      <w:r w:rsidRPr="00FD30A9">
        <w:rPr>
          <w:b/>
          <w:bCs/>
          <w:u w:val="single"/>
          <w:lang w:val="en-US" w:eastAsia="x-none"/>
        </w:rPr>
        <w:t>Proposal 4.2:</w:t>
      </w:r>
    </w:p>
    <w:p w14:paraId="53981E0B" w14:textId="77777777" w:rsidR="00D90B3F" w:rsidRPr="00FD30A9" w:rsidRDefault="00D90B3F" w:rsidP="00D90B3F">
      <w:pPr>
        <w:rPr>
          <w:b/>
          <w:bCs/>
          <w:lang w:val="en-US" w:eastAsia="x-none"/>
        </w:rPr>
      </w:pPr>
      <w:r w:rsidRPr="00FD30A9">
        <w:rPr>
          <w:b/>
          <w:bCs/>
          <w:lang w:eastAsia="x-none"/>
        </w:rPr>
        <w:t xml:space="preserve">For an IAB-node with multi-parents, the DCI2_5 received from </w:t>
      </w:r>
      <w:r>
        <w:rPr>
          <w:b/>
          <w:bCs/>
          <w:lang w:eastAsia="x-none"/>
        </w:rPr>
        <w:t xml:space="preserve">one </w:t>
      </w:r>
      <w:r w:rsidRPr="00FD30A9">
        <w:rPr>
          <w:b/>
          <w:bCs/>
          <w:lang w:eastAsia="x-none"/>
        </w:rPr>
        <w:t>parent indicates availability of soft resources at an IAB-DU cell relative to the serving cells</w:t>
      </w:r>
      <w:r>
        <w:rPr>
          <w:b/>
          <w:bCs/>
          <w:lang w:eastAsia="x-none"/>
        </w:rPr>
        <w:t xml:space="preserve"> of IAB-MT in the cell group</w:t>
      </w:r>
      <w:r w:rsidRPr="00FD30A9">
        <w:rPr>
          <w:b/>
          <w:bCs/>
          <w:lang w:eastAsia="x-none"/>
        </w:rPr>
        <w:t xml:space="preserve"> associated with </w:t>
      </w:r>
      <w:r>
        <w:rPr>
          <w:b/>
          <w:bCs/>
          <w:lang w:eastAsia="x-none"/>
        </w:rPr>
        <w:t xml:space="preserve">this </w:t>
      </w:r>
      <w:r w:rsidRPr="00FD30A9">
        <w:rPr>
          <w:b/>
          <w:bCs/>
          <w:lang w:eastAsia="x-none"/>
        </w:rPr>
        <w:t>parent</w:t>
      </w:r>
      <w:r>
        <w:rPr>
          <w:b/>
          <w:bCs/>
          <w:lang w:eastAsia="x-none"/>
        </w:rPr>
        <w:t xml:space="preserve"> node</w:t>
      </w:r>
      <w:r w:rsidRPr="00FD30A9">
        <w:rPr>
          <w:b/>
          <w:bCs/>
          <w:lang w:eastAsia="x-none"/>
        </w:rPr>
        <w:t>.</w:t>
      </w:r>
    </w:p>
    <w:p w14:paraId="0DC56889" w14:textId="5412543E" w:rsidR="00D90B3F" w:rsidRDefault="00D90B3F" w:rsidP="00D90B3F">
      <w:pPr>
        <w:rPr>
          <w:lang w:eastAsia="x-none"/>
        </w:rPr>
      </w:pPr>
      <w:r>
        <w:rPr>
          <w:lang w:val="en-US" w:eastAsia="x-none"/>
        </w:rPr>
        <w:t xml:space="preserve">With this point clarified, </w:t>
      </w:r>
      <w:r>
        <w:rPr>
          <w:lang w:eastAsia="x-none"/>
        </w:rPr>
        <w:t>i</w:t>
      </w:r>
      <w:r w:rsidRPr="00B62591">
        <w:rPr>
          <w:lang w:eastAsia="x-none"/>
        </w:rPr>
        <w:t xml:space="preserve">n case of multi-parents, </w:t>
      </w:r>
      <w:r>
        <w:rPr>
          <w:lang w:eastAsia="x-none"/>
        </w:rPr>
        <w:t xml:space="preserve">it can be seen that </w:t>
      </w:r>
      <w:r w:rsidRPr="00B62591">
        <w:rPr>
          <w:lang w:eastAsia="x-none"/>
        </w:rPr>
        <w:t>availability of a soft resource at an IAB-DU shall be determined with respective to all serving cells of IAB-MT</w:t>
      </w:r>
      <w:r w:rsidR="00441D19">
        <w:rPr>
          <w:lang w:eastAsia="x-none"/>
        </w:rPr>
        <w:t>:</w:t>
      </w:r>
    </w:p>
    <w:p w14:paraId="69480FC2" w14:textId="77777777" w:rsidR="00D90B3F" w:rsidRPr="00B62591" w:rsidRDefault="00D90B3F" w:rsidP="003806DE">
      <w:pPr>
        <w:pStyle w:val="ListParagraph"/>
        <w:numPr>
          <w:ilvl w:val="0"/>
          <w:numId w:val="12"/>
        </w:numPr>
        <w:rPr>
          <w:lang w:eastAsia="x-none"/>
        </w:rPr>
      </w:pPr>
      <w:r w:rsidRPr="00B62591">
        <w:rPr>
          <w:lang w:val="en-US" w:eastAsia="x-none"/>
        </w:rPr>
        <w:t>either by receiving two explicit availability indications from both parent nodes via DCI2_5.</w:t>
      </w:r>
    </w:p>
    <w:p w14:paraId="0C9163F7" w14:textId="74A329E6" w:rsidR="00D90B3F" w:rsidRPr="00B62591" w:rsidRDefault="00441D19" w:rsidP="003806DE">
      <w:pPr>
        <w:pStyle w:val="ListParagraph"/>
        <w:numPr>
          <w:ilvl w:val="0"/>
          <w:numId w:val="12"/>
        </w:numPr>
        <w:rPr>
          <w:lang w:eastAsia="x-none"/>
        </w:rPr>
      </w:pPr>
      <w:r>
        <w:rPr>
          <w:lang w:val="en-US" w:eastAsia="x-none"/>
        </w:rPr>
        <w:t>o</w:t>
      </w:r>
      <w:r w:rsidR="00D90B3F" w:rsidRPr="00B62591">
        <w:rPr>
          <w:lang w:val="en-US" w:eastAsia="x-none"/>
        </w:rPr>
        <w:t>r by receiving one explicit availability indication from one parent via DCI2_5, and by implicitly determining availability with respect to IAB-MT’s serving cells associated with another parent</w:t>
      </w:r>
      <w:r w:rsidR="00D90B3F">
        <w:rPr>
          <w:lang w:val="en-US" w:eastAsia="x-none"/>
        </w:rPr>
        <w:t>.</w:t>
      </w:r>
    </w:p>
    <w:p w14:paraId="40B4B014" w14:textId="262A9EF8" w:rsidR="00D90B3F" w:rsidRPr="00B62591" w:rsidRDefault="00441D19" w:rsidP="003806DE">
      <w:pPr>
        <w:pStyle w:val="ListParagraph"/>
        <w:numPr>
          <w:ilvl w:val="0"/>
          <w:numId w:val="12"/>
        </w:numPr>
        <w:rPr>
          <w:lang w:eastAsia="x-none"/>
        </w:rPr>
      </w:pPr>
      <w:r>
        <w:rPr>
          <w:lang w:val="en-US" w:eastAsia="x-none"/>
        </w:rPr>
        <w:t>o</w:t>
      </w:r>
      <w:r w:rsidR="00D90B3F" w:rsidRPr="00B62591">
        <w:rPr>
          <w:lang w:val="en-US" w:eastAsia="x-none"/>
        </w:rPr>
        <w:t xml:space="preserve">r by implicit determining availability with respect to all serving cells of IAB-MT.     </w:t>
      </w:r>
    </w:p>
    <w:p w14:paraId="6ED3D5B1" w14:textId="77777777" w:rsidR="00D90B3F" w:rsidRDefault="00D90B3F" w:rsidP="00D90B3F">
      <w:r>
        <w:t xml:space="preserve">We propose to rewrite the RAN1-105e agreement on soft resource management as below for better clarification.  </w:t>
      </w:r>
    </w:p>
    <w:p w14:paraId="4FB9CCC1" w14:textId="77777777" w:rsidR="00D90B3F" w:rsidRDefault="00D90B3F" w:rsidP="00D90B3F">
      <w:r>
        <w:rPr>
          <w:b/>
          <w:bCs/>
          <w:u w:val="single"/>
          <w:lang w:eastAsia="zh-CN"/>
        </w:rPr>
        <w:t>Proposal 4.3</w:t>
      </w:r>
      <w:r w:rsidRPr="00D24022">
        <w:rPr>
          <w:b/>
          <w:bCs/>
          <w:u w:val="single"/>
          <w:lang w:eastAsia="zh-CN"/>
        </w:rPr>
        <w:t>:</w:t>
      </w:r>
    </w:p>
    <w:p w14:paraId="25F0DFDB" w14:textId="20D283C1" w:rsidR="00D90B3F" w:rsidRDefault="00D90B3F" w:rsidP="00D90B3F">
      <w:pPr>
        <w:rPr>
          <w:b/>
          <w:bCs/>
          <w:lang w:val="en-US"/>
        </w:rPr>
      </w:pPr>
      <w:r w:rsidRPr="00FA65BB">
        <w:rPr>
          <w:b/>
          <w:bCs/>
        </w:rPr>
        <w:t xml:space="preserve">The RAN1-105e agreement on availability of soft resources at an IAB-node shall be </w:t>
      </w:r>
      <w:r w:rsidRPr="00BB1825">
        <w:rPr>
          <w:b/>
          <w:bCs/>
          <w:color w:val="FF0000"/>
        </w:rPr>
        <w:t>modified</w:t>
      </w:r>
      <w:r w:rsidRPr="00FA65BB">
        <w:rPr>
          <w:b/>
          <w:bCs/>
        </w:rPr>
        <w:t xml:space="preserve"> as “</w:t>
      </w:r>
      <w:r w:rsidRPr="00FA65BB">
        <w:rPr>
          <w:b/>
          <w:bCs/>
          <w:i/>
          <w:iCs/>
        </w:rPr>
        <w:t>For an IAB-MT with multiple serving cells (including the case with two parent nodes), a per-cell IAB-DU soft resource is considered as available if the resource</w:t>
      </w:r>
      <w:r>
        <w:rPr>
          <w:b/>
          <w:bCs/>
          <w:i/>
          <w:iCs/>
        </w:rPr>
        <w:t xml:space="preserve"> </w:t>
      </w:r>
      <w:r w:rsidRPr="00FA65BB">
        <w:rPr>
          <w:b/>
          <w:bCs/>
          <w:i/>
          <w:iCs/>
          <w:strike/>
        </w:rPr>
        <w:t>is either explicitly indicated (via DCI 2_5), or implicitly determined as available with respect to all serving cells</w:t>
      </w:r>
      <w:r w:rsidRPr="00FA65BB">
        <w:rPr>
          <w:b/>
          <w:bCs/>
          <w:i/>
          <w:iCs/>
        </w:rPr>
        <w:t xml:space="preserve"> </w:t>
      </w:r>
      <w:r w:rsidRPr="00FA65BB">
        <w:rPr>
          <w:b/>
          <w:bCs/>
          <w:i/>
          <w:iCs/>
          <w:color w:val="FF0000"/>
        </w:rPr>
        <w:t xml:space="preserve">can be determined as available with respect to all serving cells of IAB-MT, where the determination with respect to </w:t>
      </w:r>
      <w:r>
        <w:rPr>
          <w:b/>
          <w:bCs/>
          <w:i/>
          <w:iCs/>
          <w:color w:val="FF0000"/>
        </w:rPr>
        <w:t>a</w:t>
      </w:r>
      <w:r w:rsidRPr="00FA65BB">
        <w:rPr>
          <w:b/>
          <w:bCs/>
          <w:i/>
          <w:iCs/>
          <w:color w:val="FF0000"/>
        </w:rPr>
        <w:t xml:space="preserve"> serving cell can be done either by explicit indication via DCI2_5 or implicit determination.</w:t>
      </w:r>
      <w:r w:rsidRPr="00FA65BB">
        <w:rPr>
          <w:b/>
          <w:bCs/>
          <w:i/>
          <w:iCs/>
        </w:rPr>
        <w:t>”</w:t>
      </w:r>
      <w:r w:rsidRPr="00FA65BB">
        <w:rPr>
          <w:b/>
          <w:bCs/>
          <w:lang w:val="en-US"/>
        </w:rPr>
        <w:t xml:space="preserve">      </w:t>
      </w:r>
    </w:p>
    <w:p w14:paraId="471556CF" w14:textId="18B018EB" w:rsidR="004F1D17" w:rsidRDefault="004F1D17" w:rsidP="00D90B3F">
      <w:pPr>
        <w:rPr>
          <w:b/>
          <w:bCs/>
          <w:lang w:val="en-US"/>
        </w:rPr>
      </w:pPr>
    </w:p>
    <w:p w14:paraId="36B8C16B" w14:textId="68E0FBBD" w:rsidR="004F1D17" w:rsidRDefault="004F1D17" w:rsidP="00D90B3F">
      <w:pPr>
        <w:rPr>
          <w:b/>
          <w:bCs/>
          <w:lang w:val="en-US"/>
        </w:rPr>
      </w:pPr>
    </w:p>
    <w:p w14:paraId="1A2661A5" w14:textId="4D7CC491" w:rsidR="004F1D17" w:rsidRDefault="004F1D17" w:rsidP="00D90B3F">
      <w:pPr>
        <w:rPr>
          <w:b/>
          <w:bCs/>
          <w:lang w:val="en-US"/>
        </w:rPr>
      </w:pPr>
    </w:p>
    <w:p w14:paraId="468DCF68" w14:textId="495AB5BA" w:rsidR="004F1D17" w:rsidRDefault="004F1D17" w:rsidP="00D90B3F">
      <w:pPr>
        <w:rPr>
          <w:b/>
          <w:bCs/>
          <w:lang w:val="en-US"/>
        </w:rPr>
      </w:pPr>
    </w:p>
    <w:p w14:paraId="37FA7E75" w14:textId="1FD218D6" w:rsidR="004F1D17" w:rsidRDefault="004F1D17" w:rsidP="00D90B3F">
      <w:pPr>
        <w:rPr>
          <w:b/>
          <w:bCs/>
          <w:lang w:val="en-US"/>
        </w:rPr>
      </w:pPr>
    </w:p>
    <w:p w14:paraId="5A0F8469" w14:textId="2057929A" w:rsidR="004F1D17" w:rsidRDefault="004F1D17" w:rsidP="00D90B3F">
      <w:pPr>
        <w:rPr>
          <w:b/>
          <w:bCs/>
          <w:lang w:val="en-US"/>
        </w:rPr>
      </w:pPr>
    </w:p>
    <w:p w14:paraId="5A9FEB58" w14:textId="44148129" w:rsidR="004F1D17" w:rsidRDefault="004F1D17" w:rsidP="00D90B3F">
      <w:pPr>
        <w:rPr>
          <w:b/>
          <w:bCs/>
          <w:lang w:val="en-US"/>
        </w:rPr>
      </w:pPr>
    </w:p>
    <w:p w14:paraId="61ABD4D7" w14:textId="77777777" w:rsidR="004F1D17" w:rsidRPr="00FA65BB" w:rsidRDefault="004F1D17" w:rsidP="00D90B3F">
      <w:pPr>
        <w:rPr>
          <w:b/>
          <w:bCs/>
          <w:lang w:val="en-US"/>
        </w:rPr>
      </w:pPr>
    </w:p>
    <w:p w14:paraId="24C8A2F0" w14:textId="70C71737" w:rsidR="00D90B3F" w:rsidRDefault="00D90B3F" w:rsidP="00D90B3F">
      <w:pPr>
        <w:pStyle w:val="Heading2"/>
      </w:pPr>
      <w:r>
        <w:lastRenderedPageBreak/>
        <w:t>5. Responses to RAN3 LS</w:t>
      </w:r>
      <w:r w:rsidR="004F1D17">
        <w:t>s</w:t>
      </w:r>
    </w:p>
    <w:p w14:paraId="401F8484" w14:textId="77777777" w:rsidR="00D90B3F" w:rsidRDefault="00D90B3F" w:rsidP="00D90B3F">
      <w:r>
        <w:t>In this section, we provide our view on the response to LS RAN3-212974 and LS RAN3-212981 [5,6].</w:t>
      </w:r>
    </w:p>
    <w:p w14:paraId="142B7FB1" w14:textId="77777777" w:rsidR="00D90B3F" w:rsidRDefault="00D90B3F" w:rsidP="00D90B3F">
      <w:pPr>
        <w:jc w:val="center"/>
      </w:pPr>
      <w:r>
        <w:rPr>
          <w:noProof/>
        </w:rPr>
        <w:drawing>
          <wp:inline distT="0" distB="0" distL="0" distR="0" wp14:anchorId="098F1021" wp14:editId="506A83B3">
            <wp:extent cx="5420226" cy="210589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29344" cy="2109440"/>
                    </a:xfrm>
                    <a:prstGeom prst="rect">
                      <a:avLst/>
                    </a:prstGeom>
                  </pic:spPr>
                </pic:pic>
              </a:graphicData>
            </a:graphic>
          </wp:inline>
        </w:drawing>
      </w:r>
    </w:p>
    <w:p w14:paraId="63CE6491" w14:textId="77777777" w:rsidR="00D90B3F" w:rsidRPr="009749C9" w:rsidRDefault="00D90B3F" w:rsidP="00D90B3F">
      <w:pPr>
        <w:jc w:val="center"/>
        <w:rPr>
          <w:b/>
          <w:bCs/>
        </w:rPr>
      </w:pPr>
      <w:r w:rsidRPr="009749C9">
        <w:rPr>
          <w:b/>
          <w:bCs/>
        </w:rPr>
        <w:t xml:space="preserve">Fig.4 </w:t>
      </w:r>
      <w:r>
        <w:rPr>
          <w:b/>
          <w:bCs/>
        </w:rPr>
        <w:t xml:space="preserve">Two Scenarios discussed on inter-donor resource multiplexing in RAN3-212974 </w:t>
      </w:r>
    </w:p>
    <w:p w14:paraId="7FF50283" w14:textId="77777777" w:rsidR="00D90B3F" w:rsidRDefault="00D90B3F" w:rsidP="00D90B3F">
      <w:r>
        <w:t>Two scenarios of inter-donor resource multiplexing shown in Fig.4 were discussed in RAN3-212974 [5]. Three options were proposed for resource coordination and RAN3 asks RAN1’s input on selection of options:</w:t>
      </w:r>
    </w:p>
    <w:p w14:paraId="756E54BF" w14:textId="358E4E2A" w:rsidR="00D90B3F" w:rsidRDefault="00D90B3F" w:rsidP="003806DE">
      <w:pPr>
        <w:pStyle w:val="ListParagraph"/>
        <w:numPr>
          <w:ilvl w:val="0"/>
          <w:numId w:val="13"/>
        </w:numPr>
      </w:pPr>
      <w:r>
        <w:t xml:space="preserve">Option1 refers to the scheme that resource coordination decision is made by </w:t>
      </w:r>
      <w:r w:rsidRPr="00BB168A">
        <w:t>F1-terminating donor CU upon reception of coordination message from non-F1 terminating donor CU</w:t>
      </w:r>
      <w:r w:rsidR="00441D19">
        <w:t>.</w:t>
      </w:r>
    </w:p>
    <w:p w14:paraId="24B618A7" w14:textId="177258A5" w:rsidR="00D90B3F" w:rsidRDefault="00D90B3F" w:rsidP="003806DE">
      <w:pPr>
        <w:pStyle w:val="ListParagraph"/>
        <w:numPr>
          <w:ilvl w:val="0"/>
          <w:numId w:val="13"/>
        </w:numPr>
      </w:pPr>
      <w:r>
        <w:t>Option2 refers to the scheme that resource coordination decision is made by non-</w:t>
      </w:r>
      <w:r w:rsidRPr="00BB168A">
        <w:t>F1</w:t>
      </w:r>
      <w:r>
        <w:t xml:space="preserve"> </w:t>
      </w:r>
      <w:r w:rsidRPr="00BB168A">
        <w:t>terminating donor CU upon reception of coordination message from F1 terminating donor CU</w:t>
      </w:r>
      <w:r w:rsidR="00441D19">
        <w:t>.</w:t>
      </w:r>
    </w:p>
    <w:p w14:paraId="78DC7C7B" w14:textId="77777777" w:rsidR="00D90B3F" w:rsidRDefault="00D90B3F" w:rsidP="003806DE">
      <w:pPr>
        <w:pStyle w:val="ListParagraph"/>
        <w:numPr>
          <w:ilvl w:val="0"/>
          <w:numId w:val="13"/>
        </w:numPr>
      </w:pPr>
      <w:r>
        <w:t xml:space="preserve">Option3 refers to a scheme that boundary node does inter-donor migration or topology redundancy via NR-DC only if the resource configuration is compatible with the target node. </w:t>
      </w:r>
    </w:p>
    <w:p w14:paraId="3DA07544" w14:textId="0218663F" w:rsidR="00D90B3F" w:rsidRDefault="00D90B3F" w:rsidP="00D90B3F">
      <w:r>
        <w:t xml:space="preserve">In our view, option3 is too restrictive to be considered. Both option1 and option2 can be supported with required coordination messages defined. Similar to many other cases adopted by spec, we suggest </w:t>
      </w:r>
      <w:r w:rsidR="00441D19">
        <w:t>defining</w:t>
      </w:r>
      <w:r>
        <w:t xml:space="preserve"> the required </w:t>
      </w:r>
      <w:proofErr w:type="spellStart"/>
      <w:r>
        <w:t>signaling</w:t>
      </w:r>
      <w:proofErr w:type="spellEnd"/>
      <w:r>
        <w:t xml:space="preserve"> messages in the spec to allow for resource coordination between donor CUs without the need to explicitly specify the donor CU’s behavior upon reception of the message.  </w:t>
      </w:r>
    </w:p>
    <w:p w14:paraId="4FBF91D6" w14:textId="77777777" w:rsidR="00D90B3F" w:rsidRDefault="00D90B3F" w:rsidP="00D90B3F">
      <w:pPr>
        <w:rPr>
          <w:b/>
          <w:bCs/>
          <w:u w:val="single"/>
          <w:lang w:eastAsia="zh-CN"/>
        </w:rPr>
      </w:pPr>
      <w:r>
        <w:rPr>
          <w:b/>
          <w:bCs/>
          <w:u w:val="single"/>
          <w:lang w:eastAsia="zh-CN"/>
        </w:rPr>
        <w:t>Proposal 5.1</w:t>
      </w:r>
      <w:r w:rsidRPr="00D24022">
        <w:rPr>
          <w:b/>
          <w:bCs/>
          <w:u w:val="single"/>
          <w:lang w:eastAsia="zh-CN"/>
        </w:rPr>
        <w:t>:</w:t>
      </w:r>
    </w:p>
    <w:p w14:paraId="034A9A4F" w14:textId="77777777" w:rsidR="00D90B3F" w:rsidRDefault="00D90B3F" w:rsidP="00D90B3F">
      <w:pPr>
        <w:rPr>
          <w:b/>
          <w:bCs/>
        </w:rPr>
      </w:pPr>
      <w:r>
        <w:rPr>
          <w:b/>
          <w:bCs/>
        </w:rPr>
        <w:t>For RAN3-212974 LS on IAB Resource Multiplexing, s</w:t>
      </w:r>
      <w:r w:rsidRPr="00467735">
        <w:rPr>
          <w:b/>
          <w:bCs/>
        </w:rPr>
        <w:t xml:space="preserve">upport both option1 and option2 with required coordination message between donor CUs, and leave coordination with Option1 and/or Option2 up to CU’s implementation.   </w:t>
      </w:r>
    </w:p>
    <w:p w14:paraId="600E7AD3" w14:textId="77777777" w:rsidR="00D90B3F" w:rsidRDefault="00D90B3F" w:rsidP="00D90B3F">
      <w:pPr>
        <w:jc w:val="center"/>
        <w:rPr>
          <w:b/>
          <w:bCs/>
        </w:rPr>
      </w:pPr>
      <w:r w:rsidRPr="00692FB9">
        <w:rPr>
          <w:b/>
          <w:bCs/>
          <w:lang w:val="en-US"/>
        </w:rPr>
        <w:object w:dxaOrig="9003" w:dyaOrig="4831" w14:anchorId="56C55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7pt" o:ole="">
            <v:imagedata r:id="rId12" o:title=""/>
          </v:shape>
          <o:OLEObject Type="Embed" ProgID="Visio.Drawing.15" ShapeID="_x0000_i1025" DrawAspect="Content" ObjectID="_1689782547" r:id="rId13"/>
        </w:object>
      </w:r>
    </w:p>
    <w:p w14:paraId="268ADE5A" w14:textId="77777777" w:rsidR="00D90B3F" w:rsidRDefault="00D90B3F" w:rsidP="00D90B3F">
      <w:pPr>
        <w:jc w:val="center"/>
        <w:rPr>
          <w:b/>
          <w:bCs/>
        </w:rPr>
      </w:pPr>
      <w:r w:rsidRPr="009749C9">
        <w:rPr>
          <w:b/>
          <w:bCs/>
        </w:rPr>
        <w:t>Fig.</w:t>
      </w:r>
      <w:r>
        <w:rPr>
          <w:b/>
          <w:bCs/>
        </w:rPr>
        <w:t>5 Handover of child UE controlled by boundary IAB-node during inter-donor full migration</w:t>
      </w:r>
    </w:p>
    <w:p w14:paraId="62F3D18A" w14:textId="77777777" w:rsidR="004F1D17" w:rsidRDefault="004F1D17" w:rsidP="00D90B3F"/>
    <w:p w14:paraId="3880EA2D" w14:textId="181118DF" w:rsidR="00D90B3F" w:rsidRDefault="00D90B3F" w:rsidP="00D90B3F">
      <w:pPr>
        <w:rPr>
          <w:lang w:val="en-US"/>
        </w:rPr>
      </w:pPr>
      <w:r>
        <w:lastRenderedPageBreak/>
        <w:t xml:space="preserve">In RAN3-212981 LS [6], handover of child UE between cells controlled by different logical IAB-DUs connected to separate CUs as shown in Fig.5 was discussed. </w:t>
      </w:r>
      <w:r w:rsidRPr="0047551B">
        <w:rPr>
          <w:lang w:val="en-US"/>
        </w:rPr>
        <w:t xml:space="preserve">Two implementation choices on boundary IAB-node during </w:t>
      </w:r>
      <w:r>
        <w:rPr>
          <w:lang w:val="en-US"/>
        </w:rPr>
        <w:t xml:space="preserve">inter-donor </w:t>
      </w:r>
      <w:r w:rsidRPr="0047551B">
        <w:rPr>
          <w:lang w:val="en-US"/>
        </w:rPr>
        <w:t>full migration</w:t>
      </w:r>
      <w:r>
        <w:rPr>
          <w:lang w:val="en-US"/>
        </w:rPr>
        <w:t xml:space="preserve"> were considered:</w:t>
      </w:r>
    </w:p>
    <w:p w14:paraId="44A4A520" w14:textId="77777777" w:rsidR="00D90B3F" w:rsidRPr="00427030" w:rsidRDefault="00D90B3F" w:rsidP="003806DE">
      <w:pPr>
        <w:pStyle w:val="ListParagraph"/>
        <w:numPr>
          <w:ilvl w:val="0"/>
          <w:numId w:val="14"/>
        </w:numPr>
      </w:pPr>
      <w:r>
        <w:rPr>
          <w:lang w:val="en-US"/>
        </w:rPr>
        <w:t xml:space="preserve">Alt1: </w:t>
      </w:r>
      <w:r w:rsidRPr="00427030">
        <w:t>the two logical DUs use separate physical cell resources</w:t>
      </w:r>
      <w:r>
        <w:t xml:space="preserve">, e.g. separate </w:t>
      </w:r>
      <w:r w:rsidRPr="00427030">
        <w:t>carriers</w:t>
      </w:r>
      <w:r>
        <w:t xml:space="preserve">. </w:t>
      </w:r>
    </w:p>
    <w:p w14:paraId="7B5FA239" w14:textId="77777777" w:rsidR="00D90B3F" w:rsidRDefault="00D90B3F" w:rsidP="003806DE">
      <w:pPr>
        <w:pStyle w:val="ListParagraph"/>
        <w:numPr>
          <w:ilvl w:val="0"/>
          <w:numId w:val="14"/>
        </w:numPr>
      </w:pPr>
      <w:r>
        <w:rPr>
          <w:lang w:val="en-US"/>
        </w:rPr>
        <w:t xml:space="preserve">Alt2: </w:t>
      </w:r>
      <w:r w:rsidRPr="008B3BB4">
        <w:t xml:space="preserve">the two logical DUs use </w:t>
      </w:r>
      <w:r>
        <w:t>the same</w:t>
      </w:r>
      <w:r w:rsidRPr="008B3BB4">
        <w:t xml:space="preserve"> physical cell resources</w:t>
      </w:r>
      <w:r>
        <w:t xml:space="preserve">, e.g. same carrier. Different cells under different logical DUs may use same or different PCIs. </w:t>
      </w:r>
    </w:p>
    <w:p w14:paraId="1EDF709A" w14:textId="7663598A" w:rsidR="00D90B3F" w:rsidRDefault="00D90B3F" w:rsidP="00D90B3F">
      <w:r>
        <w:t>RAN3 asks for RAN1’s input on any potential technical issue for the above Alt1 and Alt2. In high level, we don’t see major technical issues for Alt1 and Alt2. For Alt2, we assume that different cells sharing the same physical resources (</w:t>
      </w:r>
      <w:r w:rsidR="00441D19">
        <w:t>e.g.,</w:t>
      </w:r>
      <w:r>
        <w:t xml:space="preserve"> same carrier) are operated in a TDM/FDM manner, </w:t>
      </w:r>
      <w:r w:rsidR="00441D19">
        <w:t>i.e.,</w:t>
      </w:r>
      <w:r>
        <w:t xml:space="preserve"> signals/channels allocated for different cells are orthogonal in time/frequency. </w:t>
      </w:r>
      <w:r w:rsidR="00441D19">
        <w:t>E.g.,</w:t>
      </w:r>
      <w:r>
        <w:t xml:space="preserve"> SSBs for two cells shall be allocated at different sync </w:t>
      </w:r>
      <w:proofErr w:type="spellStart"/>
      <w:r>
        <w:t>rasters</w:t>
      </w:r>
      <w:proofErr w:type="spellEnd"/>
      <w:r>
        <w:t>, RMSI for two cells shall be allocated at different time resources or RBs. Under this assumption, a UE connected to one cell will not receive signals (</w:t>
      </w:r>
      <w:r w:rsidR="00441D19">
        <w:t>e.g.,</w:t>
      </w:r>
      <w:r>
        <w:t xml:space="preserve"> SSB, RMSI) from another cell unless it is indicated to do handover or interference measurement. From UE implementation point of view, there might be some concerns for Alt2 with same PCI over different cells that shares the same physical cell resources, since this case might be detected by UE as PCI collision and the impact may be up to UE’s implementation. </w:t>
      </w:r>
    </w:p>
    <w:p w14:paraId="7CEF7C37" w14:textId="77777777" w:rsidR="00D90B3F" w:rsidRDefault="00D90B3F" w:rsidP="00D90B3F">
      <w:pPr>
        <w:rPr>
          <w:b/>
          <w:bCs/>
          <w:u w:val="single"/>
          <w:lang w:eastAsia="zh-CN"/>
        </w:rPr>
      </w:pPr>
      <w:r>
        <w:rPr>
          <w:b/>
          <w:bCs/>
          <w:u w:val="single"/>
          <w:lang w:eastAsia="zh-CN"/>
        </w:rPr>
        <w:t>Observation 5.1</w:t>
      </w:r>
      <w:r w:rsidRPr="00D24022">
        <w:rPr>
          <w:b/>
          <w:bCs/>
          <w:u w:val="single"/>
          <w:lang w:eastAsia="zh-CN"/>
        </w:rPr>
        <w:t>:</w:t>
      </w:r>
    </w:p>
    <w:p w14:paraId="0A7D33A2" w14:textId="77777777" w:rsidR="00D90B3F" w:rsidRDefault="00D90B3F" w:rsidP="00D90B3F">
      <w:pPr>
        <w:rPr>
          <w:b/>
          <w:bCs/>
          <w:lang w:eastAsia="zh-CN"/>
        </w:rPr>
      </w:pPr>
      <w:r w:rsidRPr="00985216">
        <w:rPr>
          <w:b/>
          <w:bCs/>
          <w:lang w:eastAsia="zh-CN"/>
        </w:rPr>
        <w:t>For</w:t>
      </w:r>
      <w:r>
        <w:rPr>
          <w:b/>
          <w:bCs/>
          <w:lang w:eastAsia="zh-CN"/>
        </w:rPr>
        <w:t xml:space="preserve"> RAN3-212981 LS on inter-donor migration, we don’t envision any major technical issues for Alt1 and Alt2.</w:t>
      </w:r>
    </w:p>
    <w:p w14:paraId="003285D4" w14:textId="64A7B02D" w:rsidR="00D90B3F" w:rsidRDefault="00D90B3F" w:rsidP="003806DE">
      <w:pPr>
        <w:pStyle w:val="ListParagraph"/>
        <w:numPr>
          <w:ilvl w:val="0"/>
          <w:numId w:val="15"/>
        </w:numPr>
        <w:rPr>
          <w:b/>
          <w:bCs/>
          <w:lang w:eastAsia="zh-CN"/>
        </w:rPr>
      </w:pPr>
      <w:r>
        <w:rPr>
          <w:b/>
          <w:bCs/>
          <w:lang w:eastAsia="zh-CN"/>
        </w:rPr>
        <w:t>Depending on UE’s implementation on handling PCI collision, there may or may not be some concerns on Alt2 with the case of using same PCI over two cells that share the same physical resources (</w:t>
      </w:r>
      <w:r w:rsidR="00441D19">
        <w:rPr>
          <w:b/>
          <w:bCs/>
          <w:lang w:eastAsia="zh-CN"/>
        </w:rPr>
        <w:t>e.g.,</w:t>
      </w:r>
      <w:r>
        <w:rPr>
          <w:b/>
          <w:bCs/>
          <w:lang w:eastAsia="zh-CN"/>
        </w:rPr>
        <w:t xml:space="preserve"> same carrier).   </w:t>
      </w:r>
    </w:p>
    <w:p w14:paraId="2D44BD6E" w14:textId="77777777" w:rsidR="00D90B3F" w:rsidRPr="003E67BD" w:rsidRDefault="00D90B3F" w:rsidP="00D90B3F">
      <w:pPr>
        <w:rPr>
          <w:b/>
          <w:bCs/>
          <w:u w:val="single"/>
          <w:lang w:eastAsia="zh-CN"/>
        </w:rPr>
      </w:pPr>
      <w:r w:rsidRPr="003E67BD">
        <w:rPr>
          <w:b/>
          <w:bCs/>
          <w:u w:val="single"/>
          <w:lang w:eastAsia="zh-CN"/>
        </w:rPr>
        <w:t>Observation 5.</w:t>
      </w:r>
      <w:r>
        <w:rPr>
          <w:b/>
          <w:bCs/>
          <w:u w:val="single"/>
          <w:lang w:eastAsia="zh-CN"/>
        </w:rPr>
        <w:t>2</w:t>
      </w:r>
      <w:r w:rsidRPr="003E67BD">
        <w:rPr>
          <w:b/>
          <w:bCs/>
          <w:u w:val="single"/>
          <w:lang w:eastAsia="zh-CN"/>
        </w:rPr>
        <w:t>:</w:t>
      </w:r>
    </w:p>
    <w:p w14:paraId="4123ED45" w14:textId="77777777" w:rsidR="00D90B3F" w:rsidRDefault="00D90B3F" w:rsidP="00D90B3F">
      <w:pPr>
        <w:rPr>
          <w:b/>
          <w:bCs/>
          <w:lang w:eastAsia="zh-CN"/>
        </w:rPr>
      </w:pPr>
      <w:r w:rsidRPr="003E67BD">
        <w:rPr>
          <w:b/>
          <w:bCs/>
          <w:lang w:eastAsia="zh-CN"/>
        </w:rPr>
        <w:t>For RAN3-212981 LS on inter-donor migration,</w:t>
      </w:r>
      <w:r>
        <w:rPr>
          <w:b/>
          <w:bCs/>
          <w:lang w:eastAsia="zh-CN"/>
        </w:rPr>
        <w:t xml:space="preserve"> we provide the following responses to RAN3’s specific questions on Alt2.</w:t>
      </w:r>
    </w:p>
    <w:p w14:paraId="1A523CCC" w14:textId="77777777" w:rsidR="00D90B3F" w:rsidRDefault="00D90B3F" w:rsidP="003806DE">
      <w:pPr>
        <w:numPr>
          <w:ilvl w:val="0"/>
          <w:numId w:val="15"/>
        </w:numPr>
        <w:spacing w:after="0"/>
        <w:rPr>
          <w:b/>
          <w:bCs/>
          <w:lang w:val="en-US" w:eastAsia="zh-CN"/>
        </w:rPr>
      </w:pPr>
      <w:r w:rsidRPr="003F06A3">
        <w:rPr>
          <w:b/>
          <w:bCs/>
          <w:lang w:val="en-US" w:eastAsia="zh-CN"/>
        </w:rPr>
        <w:t>Q1: Whether the current specification enables a RRC CONNECTED UE remains connected, while observing the change of NCGI, and no change to the PCI?</w:t>
      </w:r>
    </w:p>
    <w:p w14:paraId="5FF31195" w14:textId="77777777" w:rsidR="00D90B3F" w:rsidRPr="003F06A3" w:rsidRDefault="00D90B3F" w:rsidP="003806DE">
      <w:pPr>
        <w:numPr>
          <w:ilvl w:val="1"/>
          <w:numId w:val="15"/>
        </w:numPr>
        <w:spacing w:after="0"/>
        <w:rPr>
          <w:b/>
          <w:bCs/>
          <w:lang w:val="en-US" w:eastAsia="zh-CN"/>
        </w:rPr>
      </w:pPr>
      <w:r>
        <w:rPr>
          <w:b/>
          <w:bCs/>
          <w:lang w:val="en-US" w:eastAsia="zh-CN"/>
        </w:rPr>
        <w:t>A</w:t>
      </w:r>
      <w:r w:rsidRPr="003F06A3">
        <w:rPr>
          <w:b/>
          <w:bCs/>
          <w:lang w:val="en-US" w:eastAsia="zh-CN"/>
        </w:rPr>
        <w:t xml:space="preserve">: Assume that </w:t>
      </w:r>
      <w:r>
        <w:rPr>
          <w:b/>
          <w:bCs/>
          <w:lang w:val="en-US" w:eastAsia="zh-CN"/>
        </w:rPr>
        <w:t>different</w:t>
      </w:r>
      <w:r w:rsidRPr="003F06A3">
        <w:rPr>
          <w:b/>
          <w:bCs/>
          <w:lang w:val="en-US" w:eastAsia="zh-CN"/>
        </w:rPr>
        <w:t xml:space="preserve"> cell</w:t>
      </w:r>
      <w:r>
        <w:rPr>
          <w:b/>
          <w:bCs/>
          <w:lang w:val="en-US" w:eastAsia="zh-CN"/>
        </w:rPr>
        <w:t xml:space="preserve">s are allocated with orthogonal time/frequency resources </w:t>
      </w:r>
      <w:r w:rsidRPr="003F06A3">
        <w:rPr>
          <w:b/>
          <w:bCs/>
          <w:lang w:val="en-US" w:eastAsia="zh-CN"/>
        </w:rPr>
        <w:t>on SSB/</w:t>
      </w:r>
      <w:r>
        <w:rPr>
          <w:b/>
          <w:bCs/>
          <w:lang w:val="en-US" w:eastAsia="zh-CN"/>
        </w:rPr>
        <w:t>RMSI</w:t>
      </w:r>
      <w:r w:rsidRPr="003F06A3">
        <w:rPr>
          <w:b/>
          <w:bCs/>
          <w:lang w:val="en-US" w:eastAsia="zh-CN"/>
        </w:rPr>
        <w:t xml:space="preserve"> etc.</w:t>
      </w:r>
      <w:r>
        <w:rPr>
          <w:b/>
          <w:bCs/>
          <w:lang w:val="en-US" w:eastAsia="zh-CN"/>
        </w:rPr>
        <w:t>,</w:t>
      </w:r>
      <w:r w:rsidRPr="003F06A3">
        <w:rPr>
          <w:b/>
          <w:bCs/>
          <w:lang w:val="en-US" w:eastAsia="zh-CN"/>
        </w:rPr>
        <w:t xml:space="preserve"> </w:t>
      </w:r>
      <w:r>
        <w:rPr>
          <w:b/>
          <w:bCs/>
          <w:lang w:val="en-US" w:eastAsia="zh-CN"/>
        </w:rPr>
        <w:t xml:space="preserve">a RRC-connected </w:t>
      </w:r>
      <w:r w:rsidRPr="003F06A3">
        <w:rPr>
          <w:b/>
          <w:bCs/>
          <w:lang w:val="en-US" w:eastAsia="zh-CN"/>
        </w:rPr>
        <w:t xml:space="preserve">UE </w:t>
      </w:r>
      <w:r>
        <w:rPr>
          <w:b/>
          <w:bCs/>
          <w:lang w:val="en-US" w:eastAsia="zh-CN"/>
        </w:rPr>
        <w:t>only</w:t>
      </w:r>
      <w:r w:rsidRPr="003F06A3">
        <w:rPr>
          <w:b/>
          <w:bCs/>
          <w:lang w:val="en-US" w:eastAsia="zh-CN"/>
        </w:rPr>
        <w:t xml:space="preserve"> need</w:t>
      </w:r>
      <w:r>
        <w:rPr>
          <w:b/>
          <w:bCs/>
          <w:lang w:val="en-US" w:eastAsia="zh-CN"/>
        </w:rPr>
        <w:t>s</w:t>
      </w:r>
      <w:r w:rsidRPr="003F06A3">
        <w:rPr>
          <w:b/>
          <w:bCs/>
          <w:lang w:val="en-US" w:eastAsia="zh-CN"/>
        </w:rPr>
        <w:t xml:space="preserve"> to receive SIB</w:t>
      </w:r>
      <w:r>
        <w:rPr>
          <w:b/>
          <w:bCs/>
          <w:lang w:val="en-US" w:eastAsia="zh-CN"/>
        </w:rPr>
        <w:t>1 (containing NCGI)</w:t>
      </w:r>
      <w:r w:rsidRPr="003F06A3">
        <w:rPr>
          <w:b/>
          <w:bCs/>
          <w:lang w:val="en-US" w:eastAsia="zh-CN"/>
        </w:rPr>
        <w:t xml:space="preserve"> from </w:t>
      </w:r>
      <w:r>
        <w:rPr>
          <w:b/>
          <w:bCs/>
          <w:lang w:val="en-US" w:eastAsia="zh-CN"/>
        </w:rPr>
        <w:t xml:space="preserve">its connected </w:t>
      </w:r>
      <w:r w:rsidRPr="003F06A3">
        <w:rPr>
          <w:b/>
          <w:bCs/>
          <w:lang w:val="en-US" w:eastAsia="zh-CN"/>
        </w:rPr>
        <w:t>cell</w:t>
      </w:r>
      <w:r>
        <w:rPr>
          <w:b/>
          <w:bCs/>
          <w:lang w:val="en-US" w:eastAsia="zh-CN"/>
        </w:rPr>
        <w:t xml:space="preserve">, and does not need to receive SIB1 from other cells. Thus, in this case, a connected UE will not observe the change of NCGI with respect to its connected cell.  </w:t>
      </w:r>
      <w:r w:rsidRPr="003F06A3">
        <w:rPr>
          <w:b/>
          <w:bCs/>
          <w:lang w:val="en-US" w:eastAsia="zh-CN"/>
        </w:rPr>
        <w:t xml:space="preserve"> </w:t>
      </w:r>
    </w:p>
    <w:p w14:paraId="0AF6792B" w14:textId="77777777" w:rsidR="00D90B3F" w:rsidRPr="003F06A3" w:rsidRDefault="00D90B3F" w:rsidP="003806DE">
      <w:pPr>
        <w:numPr>
          <w:ilvl w:val="0"/>
          <w:numId w:val="15"/>
        </w:numPr>
        <w:spacing w:after="0"/>
        <w:rPr>
          <w:b/>
          <w:bCs/>
          <w:lang w:val="en-US" w:eastAsia="zh-CN"/>
        </w:rPr>
      </w:pPr>
      <w:r w:rsidRPr="003F06A3">
        <w:rPr>
          <w:b/>
          <w:bCs/>
          <w:lang w:val="en-US" w:eastAsia="zh-CN"/>
        </w:rPr>
        <w:t>Q2: is it possible to use same PCI for cell1 and cell2, and support the HO from cell1 to cell2 without new impact to the UE (e.g. a legacy UE)?</w:t>
      </w:r>
    </w:p>
    <w:p w14:paraId="2C9319A6" w14:textId="77777777" w:rsidR="00D90B3F" w:rsidRPr="003F06A3" w:rsidRDefault="00D90B3F" w:rsidP="003806DE">
      <w:pPr>
        <w:numPr>
          <w:ilvl w:val="1"/>
          <w:numId w:val="15"/>
        </w:numPr>
        <w:spacing w:after="0"/>
        <w:rPr>
          <w:b/>
          <w:bCs/>
          <w:lang w:val="en-US" w:eastAsia="zh-CN"/>
        </w:rPr>
      </w:pPr>
      <w:r w:rsidRPr="003F06A3">
        <w:rPr>
          <w:b/>
          <w:bCs/>
          <w:lang w:val="en-US" w:eastAsia="zh-CN"/>
        </w:rPr>
        <w:t xml:space="preserve">A: </w:t>
      </w:r>
      <w:r>
        <w:rPr>
          <w:b/>
          <w:bCs/>
          <w:lang w:val="en-US" w:eastAsia="zh-CN"/>
        </w:rPr>
        <w:t>D</w:t>
      </w:r>
      <w:r w:rsidRPr="003F06A3">
        <w:rPr>
          <w:b/>
          <w:bCs/>
          <w:lang w:val="en-US" w:eastAsia="zh-CN"/>
        </w:rPr>
        <w:t>epend on UE’s implementation, e.g. for handling PCI collision</w:t>
      </w:r>
      <w:r>
        <w:rPr>
          <w:b/>
          <w:bCs/>
          <w:lang w:val="en-US" w:eastAsia="zh-CN"/>
        </w:rPr>
        <w:t xml:space="preserve">, there may or may not be any new impact to the UE. </w:t>
      </w:r>
      <w:r w:rsidRPr="003F06A3">
        <w:rPr>
          <w:b/>
          <w:bCs/>
          <w:lang w:val="en-US" w:eastAsia="zh-CN"/>
        </w:rPr>
        <w:t xml:space="preserve"> </w:t>
      </w:r>
    </w:p>
    <w:p w14:paraId="224BC388" w14:textId="77777777" w:rsidR="00D90B3F" w:rsidRPr="003F06A3" w:rsidRDefault="00D90B3F" w:rsidP="003806DE">
      <w:pPr>
        <w:numPr>
          <w:ilvl w:val="0"/>
          <w:numId w:val="15"/>
        </w:numPr>
        <w:spacing w:after="0"/>
        <w:rPr>
          <w:b/>
          <w:bCs/>
          <w:lang w:val="en-US" w:eastAsia="zh-CN"/>
        </w:rPr>
      </w:pPr>
      <w:r w:rsidRPr="003F06A3">
        <w:rPr>
          <w:b/>
          <w:bCs/>
          <w:lang w:val="en-US" w:eastAsia="zh-CN"/>
        </w:rPr>
        <w:t>Q3: when cell1 and cell2 use different PCI/NCGI, is it possible to use one set of shared resource, without new impact to the UE?</w:t>
      </w:r>
    </w:p>
    <w:p w14:paraId="4F990428" w14:textId="0FDC66AA" w:rsidR="00D90B3F" w:rsidRDefault="00D90B3F" w:rsidP="003806DE">
      <w:pPr>
        <w:pStyle w:val="ListParagraph"/>
        <w:numPr>
          <w:ilvl w:val="1"/>
          <w:numId w:val="15"/>
        </w:numPr>
        <w:spacing w:after="0"/>
        <w:rPr>
          <w:b/>
          <w:bCs/>
          <w:lang w:eastAsia="zh-CN"/>
        </w:rPr>
      </w:pPr>
      <w:r w:rsidRPr="006D2FA4">
        <w:rPr>
          <w:b/>
          <w:bCs/>
          <w:lang w:val="en-US" w:eastAsia="zh-CN"/>
        </w:rPr>
        <w:t xml:space="preserve">A: </w:t>
      </w:r>
      <w:r>
        <w:rPr>
          <w:b/>
          <w:bCs/>
          <w:lang w:val="en-US" w:eastAsia="zh-CN"/>
        </w:rPr>
        <w:t>If different</w:t>
      </w:r>
      <w:r w:rsidRPr="006D2FA4">
        <w:rPr>
          <w:b/>
          <w:bCs/>
          <w:lang w:val="en-US" w:eastAsia="zh-CN"/>
        </w:rPr>
        <w:t xml:space="preserve"> cells </w:t>
      </w:r>
      <w:r>
        <w:rPr>
          <w:b/>
          <w:bCs/>
          <w:lang w:val="en-US" w:eastAsia="zh-CN"/>
        </w:rPr>
        <w:t>can be allocated with orthogonal resources on time/frequency for signals/channels</w:t>
      </w:r>
      <w:r w:rsidRPr="006D2FA4">
        <w:rPr>
          <w:b/>
          <w:bCs/>
          <w:lang w:val="en-US" w:eastAsia="zh-CN"/>
        </w:rPr>
        <w:t xml:space="preserve">, </w:t>
      </w:r>
      <w:r>
        <w:rPr>
          <w:b/>
          <w:bCs/>
          <w:lang w:val="en-US" w:eastAsia="zh-CN"/>
        </w:rPr>
        <w:t>we don’t see new impact to UE</w:t>
      </w:r>
      <w:r w:rsidRPr="006D2FA4">
        <w:rPr>
          <w:b/>
          <w:bCs/>
          <w:lang w:val="en-US" w:eastAsia="zh-CN"/>
        </w:rPr>
        <w:t>.</w:t>
      </w:r>
      <w:r w:rsidRPr="006D2FA4">
        <w:rPr>
          <w:b/>
          <w:bCs/>
          <w:lang w:eastAsia="zh-CN"/>
        </w:rPr>
        <w:t xml:space="preserve"> </w:t>
      </w:r>
    </w:p>
    <w:p w14:paraId="155B2F66" w14:textId="77777777" w:rsidR="004F1D17" w:rsidRPr="004F1D17" w:rsidRDefault="004F1D17" w:rsidP="004F1D17">
      <w:pPr>
        <w:spacing w:after="0"/>
        <w:rPr>
          <w:b/>
          <w:bCs/>
          <w:lang w:eastAsia="zh-CN"/>
        </w:rPr>
      </w:pPr>
    </w:p>
    <w:p w14:paraId="3C4164DF" w14:textId="77777777" w:rsidR="00D90B3F" w:rsidRDefault="00D90B3F" w:rsidP="00D90B3F">
      <w:pPr>
        <w:pStyle w:val="Heading2"/>
      </w:pPr>
      <w:r>
        <w:t>6. Conclusion</w:t>
      </w:r>
    </w:p>
    <w:p w14:paraId="33C79FE5" w14:textId="77777777" w:rsidR="00D90B3F" w:rsidRDefault="00D90B3F" w:rsidP="00D90B3F">
      <w:r>
        <w:t>This contribution provided our view on the IAB resource management framework in the context of the Rel-17 IAB WID . The following observations and proposals were made:</w:t>
      </w:r>
    </w:p>
    <w:p w14:paraId="0C4DE8B7" w14:textId="77777777" w:rsidR="00D90B3F" w:rsidRDefault="00D90B3F" w:rsidP="00D90B3F">
      <w:pPr>
        <w:rPr>
          <w:b/>
          <w:bCs/>
          <w:u w:val="single"/>
          <w:lang w:eastAsia="zh-CN"/>
        </w:rPr>
      </w:pPr>
      <w:r w:rsidRPr="00D24022">
        <w:rPr>
          <w:b/>
          <w:bCs/>
          <w:u w:val="single"/>
          <w:lang w:eastAsia="zh-CN"/>
        </w:rPr>
        <w:t>Observation</w:t>
      </w:r>
      <w:r>
        <w:rPr>
          <w:b/>
          <w:bCs/>
          <w:u w:val="single"/>
          <w:lang w:eastAsia="zh-CN"/>
        </w:rPr>
        <w:t xml:space="preserve"> 2.1</w:t>
      </w:r>
      <w:r w:rsidRPr="00D24022">
        <w:rPr>
          <w:b/>
          <w:bCs/>
          <w:u w:val="single"/>
          <w:lang w:eastAsia="zh-CN"/>
        </w:rPr>
        <w:t>:</w:t>
      </w:r>
    </w:p>
    <w:p w14:paraId="23E563C3" w14:textId="77777777" w:rsidR="00D90B3F" w:rsidRDefault="00D90B3F" w:rsidP="00D90B3F">
      <w:pPr>
        <w:rPr>
          <w:b/>
          <w:bCs/>
        </w:rPr>
      </w:pPr>
      <w:r>
        <w:rPr>
          <w:b/>
          <w:bCs/>
        </w:rPr>
        <w:t xml:space="preserve">For frequency domain multiplexing, </w:t>
      </w:r>
      <w:r w:rsidRPr="00B46198">
        <w:rPr>
          <w:b/>
          <w:bCs/>
        </w:rPr>
        <w:t xml:space="preserve">Alt1 can be viewed as a special case of Alt2, where switching between configurations </w:t>
      </w:r>
      <w:r>
        <w:rPr>
          <w:b/>
          <w:bCs/>
        </w:rPr>
        <w:t xml:space="preserve">is </w:t>
      </w:r>
      <w:r w:rsidRPr="00B46198">
        <w:rPr>
          <w:b/>
          <w:bCs/>
        </w:rPr>
        <w:t>one specific scheme within the general space of joint application.</w:t>
      </w:r>
    </w:p>
    <w:p w14:paraId="3230FAEB" w14:textId="77777777" w:rsidR="00D90B3F" w:rsidRDefault="00D90B3F" w:rsidP="00D90B3F">
      <w:pPr>
        <w:rPr>
          <w:b/>
          <w:bCs/>
          <w:u w:val="single"/>
          <w:lang w:eastAsia="zh-CN"/>
        </w:rPr>
      </w:pPr>
      <w:r>
        <w:rPr>
          <w:b/>
          <w:bCs/>
          <w:u w:val="single"/>
          <w:lang w:eastAsia="zh-CN"/>
        </w:rPr>
        <w:t>Proposal 2.1</w:t>
      </w:r>
      <w:r w:rsidRPr="00D24022">
        <w:rPr>
          <w:b/>
          <w:bCs/>
          <w:u w:val="single"/>
          <w:lang w:eastAsia="zh-CN"/>
        </w:rPr>
        <w:t>:</w:t>
      </w:r>
    </w:p>
    <w:p w14:paraId="1C16E35D" w14:textId="77777777" w:rsidR="00D90B3F" w:rsidRDefault="00D90B3F" w:rsidP="00D90B3F">
      <w:pPr>
        <w:rPr>
          <w:b/>
          <w:bCs/>
        </w:rPr>
      </w:pPr>
      <w:r w:rsidRPr="00361916">
        <w:rPr>
          <w:b/>
          <w:bCs/>
        </w:rPr>
        <w:t>To help with down-selection for frequency</w:t>
      </w:r>
      <w:r>
        <w:rPr>
          <w:b/>
          <w:bCs/>
        </w:rPr>
        <w:t xml:space="preserve"> </w:t>
      </w:r>
      <w:r w:rsidRPr="00361916">
        <w:rPr>
          <w:b/>
          <w:bCs/>
        </w:rPr>
        <w:t>domain multiplexing, clarify whether the frequency</w:t>
      </w:r>
      <w:r>
        <w:rPr>
          <w:b/>
          <w:bCs/>
        </w:rPr>
        <w:t xml:space="preserve"> </w:t>
      </w:r>
      <w:r w:rsidRPr="00361916">
        <w:rPr>
          <w:b/>
          <w:bCs/>
        </w:rPr>
        <w:t xml:space="preserve">domain configuration </w:t>
      </w:r>
      <w:r>
        <w:rPr>
          <w:b/>
          <w:bCs/>
        </w:rPr>
        <w:t xml:space="preserve">in Alt1 and Alt2 </w:t>
      </w:r>
      <w:r w:rsidRPr="00361916">
        <w:rPr>
          <w:b/>
          <w:bCs/>
        </w:rPr>
        <w:t>refers to a configuration in frequency-domain only or a configuration in time-frequency grid.</w:t>
      </w:r>
    </w:p>
    <w:p w14:paraId="16BDF13D" w14:textId="77777777" w:rsidR="004F1D17" w:rsidRDefault="004F1D17" w:rsidP="00D90B3F">
      <w:pPr>
        <w:rPr>
          <w:b/>
          <w:bCs/>
          <w:u w:val="single"/>
          <w:lang w:eastAsia="zh-CN"/>
        </w:rPr>
      </w:pPr>
    </w:p>
    <w:p w14:paraId="351D2008" w14:textId="3EBA939E" w:rsidR="00D90B3F" w:rsidRDefault="00D90B3F" w:rsidP="00D90B3F">
      <w:pPr>
        <w:rPr>
          <w:b/>
          <w:bCs/>
          <w:u w:val="single"/>
          <w:lang w:eastAsia="zh-CN"/>
        </w:rPr>
      </w:pPr>
      <w:r>
        <w:rPr>
          <w:b/>
          <w:bCs/>
          <w:u w:val="single"/>
          <w:lang w:eastAsia="zh-CN"/>
        </w:rPr>
        <w:lastRenderedPageBreak/>
        <w:t>Proposal 2.2</w:t>
      </w:r>
      <w:r w:rsidRPr="00D24022">
        <w:rPr>
          <w:b/>
          <w:bCs/>
          <w:u w:val="single"/>
          <w:lang w:eastAsia="zh-CN"/>
        </w:rPr>
        <w:t>:</w:t>
      </w:r>
    </w:p>
    <w:p w14:paraId="3962A40E" w14:textId="77777777" w:rsidR="00D90B3F" w:rsidRDefault="00D90B3F" w:rsidP="00D90B3F">
      <w:pPr>
        <w:rPr>
          <w:b/>
          <w:bCs/>
          <w:lang w:val="en-US"/>
        </w:rPr>
      </w:pPr>
      <w:r w:rsidRPr="0036755A">
        <w:rPr>
          <w:b/>
          <w:bCs/>
          <w:lang w:val="en-US"/>
        </w:rPr>
        <w:t xml:space="preserve">Support </w:t>
      </w:r>
      <w:r w:rsidRPr="0036755A">
        <w:rPr>
          <w:b/>
          <w:bCs/>
          <w:i/>
          <w:iCs/>
          <w:lang w:val="en-US"/>
        </w:rPr>
        <w:t>RB-set based H/S/NA time-domain configuration</w:t>
      </w:r>
      <w:r w:rsidRPr="0036755A">
        <w:rPr>
          <w:b/>
          <w:bCs/>
          <w:lang w:val="en-US"/>
        </w:rPr>
        <w:t xml:space="preserve"> </w:t>
      </w:r>
      <w:r>
        <w:rPr>
          <w:b/>
          <w:bCs/>
          <w:lang w:val="en-US"/>
        </w:rPr>
        <w:t xml:space="preserve">within the general scheme space of Alt2, </w:t>
      </w:r>
      <w:r w:rsidRPr="0036755A">
        <w:rPr>
          <w:b/>
          <w:bCs/>
          <w:lang w:val="en-US"/>
        </w:rPr>
        <w:t>where</w:t>
      </w:r>
      <w:r>
        <w:rPr>
          <w:b/>
          <w:bCs/>
          <w:lang w:val="en-US"/>
        </w:rPr>
        <w:t>in</w:t>
      </w:r>
      <w:r w:rsidRPr="0036755A">
        <w:rPr>
          <w:b/>
          <w:bCs/>
          <w:lang w:val="en-US"/>
        </w:rPr>
        <w:t xml:space="preserve"> Rel-16 H/S/NA time-domain configuration is applied within each RB set.</w:t>
      </w:r>
    </w:p>
    <w:p w14:paraId="183C7C10" w14:textId="77777777" w:rsidR="00D90B3F" w:rsidRDefault="00D90B3F" w:rsidP="003806DE">
      <w:pPr>
        <w:pStyle w:val="ListParagraph"/>
        <w:numPr>
          <w:ilvl w:val="0"/>
          <w:numId w:val="5"/>
        </w:numPr>
        <w:rPr>
          <w:b/>
          <w:bCs/>
          <w:lang w:val="en-US"/>
        </w:rPr>
      </w:pPr>
      <w:r w:rsidRPr="0036755A">
        <w:rPr>
          <w:b/>
          <w:bCs/>
          <w:lang w:val="en-US"/>
        </w:rPr>
        <w:t>Each RB set can be configured as (starting PRB, number of consecutive PRBs).</w:t>
      </w:r>
    </w:p>
    <w:p w14:paraId="63703685" w14:textId="77777777" w:rsidR="00D90B3F" w:rsidRDefault="00D90B3F" w:rsidP="003806DE">
      <w:pPr>
        <w:pStyle w:val="ListParagraph"/>
        <w:numPr>
          <w:ilvl w:val="0"/>
          <w:numId w:val="5"/>
        </w:numPr>
        <w:rPr>
          <w:b/>
          <w:bCs/>
          <w:lang w:val="en-US"/>
        </w:rPr>
      </w:pPr>
      <w:r w:rsidRPr="0036755A">
        <w:rPr>
          <w:b/>
          <w:bCs/>
          <w:lang w:val="en-US"/>
        </w:rPr>
        <w:t>Different Rel-16 time-domain H/S/NA patterns can be configured for different RB-sets.</w:t>
      </w:r>
    </w:p>
    <w:p w14:paraId="62E87BCF" w14:textId="77777777" w:rsidR="00D90B3F" w:rsidRPr="004D5DEC" w:rsidRDefault="00D90B3F" w:rsidP="003806DE">
      <w:pPr>
        <w:pStyle w:val="ListParagraph"/>
        <w:numPr>
          <w:ilvl w:val="0"/>
          <w:numId w:val="5"/>
        </w:numPr>
        <w:rPr>
          <w:b/>
          <w:bCs/>
          <w:lang w:val="en-US"/>
        </w:rPr>
      </w:pPr>
      <w:r w:rsidRPr="0036755A">
        <w:rPr>
          <w:b/>
          <w:bCs/>
          <w:lang w:val="en-US"/>
        </w:rPr>
        <w:t>If an RB set overlaps with any of SSB, Type0-PDCCH, periodic CSI-RS, PRACH, or SR at a symbol, this RB set at this symbol shall be treated as “Hard”.</w:t>
      </w:r>
    </w:p>
    <w:p w14:paraId="0BE298D5" w14:textId="77777777" w:rsidR="00D90B3F" w:rsidRDefault="00D90B3F" w:rsidP="00D90B3F">
      <w:pPr>
        <w:rPr>
          <w:b/>
          <w:bCs/>
          <w:u w:val="single"/>
          <w:lang w:eastAsia="zh-CN"/>
        </w:rPr>
      </w:pPr>
      <w:r w:rsidRPr="00D24022">
        <w:rPr>
          <w:b/>
          <w:bCs/>
          <w:u w:val="single"/>
          <w:lang w:eastAsia="zh-CN"/>
        </w:rPr>
        <w:t>Observation</w:t>
      </w:r>
      <w:r>
        <w:rPr>
          <w:b/>
          <w:bCs/>
          <w:u w:val="single"/>
          <w:lang w:eastAsia="zh-CN"/>
        </w:rPr>
        <w:t xml:space="preserve"> 2.2</w:t>
      </w:r>
      <w:r w:rsidRPr="00D24022">
        <w:rPr>
          <w:b/>
          <w:bCs/>
          <w:u w:val="single"/>
          <w:lang w:eastAsia="zh-CN"/>
        </w:rPr>
        <w:t>:</w:t>
      </w:r>
    </w:p>
    <w:p w14:paraId="0F0DD4AF" w14:textId="77777777" w:rsidR="00D90B3F" w:rsidRDefault="00D90B3F" w:rsidP="00D90B3F">
      <w:pPr>
        <w:rPr>
          <w:b/>
          <w:bCs/>
        </w:rPr>
      </w:pPr>
      <w:r w:rsidRPr="006C3A79">
        <w:rPr>
          <w:b/>
          <w:bCs/>
        </w:rPr>
        <w:t xml:space="preserve">The </w:t>
      </w:r>
      <w:r w:rsidRPr="00D52900">
        <w:rPr>
          <w:b/>
          <w:bCs/>
          <w:i/>
          <w:iCs/>
        </w:rPr>
        <w:t>RB-set based H/S/NA time-domain configuration</w:t>
      </w:r>
      <w:r w:rsidRPr="006C3A79">
        <w:rPr>
          <w:b/>
          <w:bCs/>
        </w:rPr>
        <w:t xml:space="preserve"> provides a good trade-off between configuration flexibility and signalling overhead.</w:t>
      </w:r>
      <w:r>
        <w:rPr>
          <w:b/>
          <w:bCs/>
        </w:rPr>
        <w:t xml:space="preserve"> </w:t>
      </w:r>
    </w:p>
    <w:p w14:paraId="20A504FC" w14:textId="77777777" w:rsidR="00D90B3F" w:rsidRDefault="00D90B3F" w:rsidP="003806DE">
      <w:pPr>
        <w:pStyle w:val="ListParagraph"/>
        <w:numPr>
          <w:ilvl w:val="0"/>
          <w:numId w:val="16"/>
        </w:numPr>
      </w:pPr>
      <w:r w:rsidRPr="00AE2386">
        <w:rPr>
          <w:b/>
          <w:bCs/>
        </w:rPr>
        <w:t xml:space="preserve">Alt1 can be achieved by </w:t>
      </w:r>
      <w:r w:rsidRPr="00AE2386">
        <w:rPr>
          <w:b/>
          <w:bCs/>
          <w:i/>
          <w:iCs/>
        </w:rPr>
        <w:t>RB-set based H/S/NA time-domain</w:t>
      </w:r>
      <w:r w:rsidRPr="00AE2386">
        <w:rPr>
          <w:b/>
          <w:bCs/>
        </w:rPr>
        <w:t xml:space="preserve"> configuration as a special case, wherein the same H/S/NA pattern is applied over a 1</w:t>
      </w:r>
      <w:r w:rsidRPr="00AE2386">
        <w:rPr>
          <w:b/>
          <w:bCs/>
          <w:vertAlign w:val="superscript"/>
        </w:rPr>
        <w:t>st</w:t>
      </w:r>
      <w:r w:rsidRPr="00AE2386">
        <w:rPr>
          <w:b/>
          <w:bCs/>
        </w:rPr>
        <w:t xml:space="preserve"> subset of time-resources cross RB-sets and different H/S/NA patterns over different RB-sets are applied over a 2</w:t>
      </w:r>
      <w:r w:rsidRPr="00AE2386">
        <w:rPr>
          <w:b/>
          <w:bCs/>
          <w:vertAlign w:val="superscript"/>
        </w:rPr>
        <w:t>nd</w:t>
      </w:r>
      <w:r w:rsidRPr="00AE2386">
        <w:rPr>
          <w:b/>
          <w:bCs/>
        </w:rPr>
        <w:t xml:space="preserve"> subset of time-resources.</w:t>
      </w:r>
    </w:p>
    <w:p w14:paraId="75BCEEFE" w14:textId="77777777" w:rsidR="00D90B3F" w:rsidRPr="00AE2386" w:rsidRDefault="00D90B3F" w:rsidP="00D90B3F">
      <w:pPr>
        <w:rPr>
          <w:b/>
          <w:bCs/>
          <w:u w:val="single"/>
          <w:lang w:eastAsia="zh-CN"/>
        </w:rPr>
      </w:pPr>
      <w:r w:rsidRPr="00AE2386">
        <w:rPr>
          <w:b/>
          <w:bCs/>
          <w:u w:val="single"/>
          <w:lang w:eastAsia="zh-CN"/>
        </w:rPr>
        <w:t>Proposal 2.3:</w:t>
      </w:r>
    </w:p>
    <w:p w14:paraId="6C296FFF" w14:textId="77777777" w:rsidR="00D90B3F" w:rsidRDefault="00D90B3F" w:rsidP="00D90B3F">
      <w:pPr>
        <w:rPr>
          <w:b/>
          <w:bCs/>
        </w:rPr>
      </w:pPr>
      <w:r w:rsidRPr="00227C23">
        <w:rPr>
          <w:b/>
          <w:bCs/>
        </w:rPr>
        <w:t>Support joint TDM and FDM indication for soft resource availability, wherein DCI2_5 format is kept unchanged and RRC configured table for availability combinations can be extended to allow for indication of availability in frequency-domain in granularity of RB set.</w:t>
      </w:r>
    </w:p>
    <w:p w14:paraId="0CBA6EDE" w14:textId="77777777" w:rsidR="00D90B3F" w:rsidRDefault="00D90B3F" w:rsidP="00D90B3F">
      <w:pPr>
        <w:rPr>
          <w:b/>
          <w:bCs/>
          <w:u w:val="single"/>
          <w:lang w:eastAsia="zh-CN"/>
        </w:rPr>
      </w:pPr>
      <w:r>
        <w:rPr>
          <w:b/>
          <w:bCs/>
          <w:u w:val="single"/>
          <w:lang w:eastAsia="zh-CN"/>
        </w:rPr>
        <w:t>Proposal 2.4</w:t>
      </w:r>
      <w:r w:rsidRPr="00D24022">
        <w:rPr>
          <w:b/>
          <w:bCs/>
          <w:u w:val="single"/>
          <w:lang w:eastAsia="zh-CN"/>
        </w:rPr>
        <w:t>:</w:t>
      </w:r>
    </w:p>
    <w:p w14:paraId="673BFD68" w14:textId="77777777" w:rsidR="00D90B3F" w:rsidRPr="00784F24" w:rsidRDefault="00D90B3F" w:rsidP="00D90B3F">
      <w:pPr>
        <w:rPr>
          <w:b/>
          <w:bCs/>
          <w:lang w:val="en-US"/>
        </w:rPr>
      </w:pPr>
      <w:r w:rsidRPr="00784F24">
        <w:rPr>
          <w:b/>
          <w:bCs/>
          <w:lang w:val="en-US"/>
        </w:rPr>
        <w:t xml:space="preserve">Update </w:t>
      </w:r>
      <w:proofErr w:type="spellStart"/>
      <w:r w:rsidRPr="00784F24">
        <w:rPr>
          <w:b/>
          <w:bCs/>
          <w:lang w:val="en-US"/>
        </w:rPr>
        <w:t>resourceAvailability</w:t>
      </w:r>
      <w:proofErr w:type="spellEnd"/>
      <w:r w:rsidRPr="00784F24">
        <w:rPr>
          <w:b/>
          <w:bCs/>
          <w:lang w:val="en-US"/>
        </w:rPr>
        <w:t xml:space="preserve"> mapping table defined in TS38.213 so that the indication of availability can be applied over soft resources in frequency-domain for DL or UL or Flexible symbols. </w:t>
      </w:r>
    </w:p>
    <w:p w14:paraId="037578EB" w14:textId="77777777" w:rsidR="00D90B3F" w:rsidRDefault="00D90B3F" w:rsidP="003806DE">
      <w:pPr>
        <w:pStyle w:val="ListParagraph"/>
        <w:numPr>
          <w:ilvl w:val="0"/>
          <w:numId w:val="16"/>
        </w:numPr>
        <w:rPr>
          <w:b/>
          <w:bCs/>
          <w:lang w:val="en-US"/>
        </w:rPr>
      </w:pPr>
      <w:r w:rsidRPr="00876F80">
        <w:rPr>
          <w:b/>
          <w:bCs/>
          <w:lang w:val="en-US"/>
        </w:rPr>
        <w:t>E.g. replacing “soft DL/UL/Flexible symbols” with “soft resources in DL/UL/Flexible symbols”</w:t>
      </w:r>
    </w:p>
    <w:p w14:paraId="4CAC85B2" w14:textId="77777777" w:rsidR="00D90B3F" w:rsidRDefault="00D90B3F" w:rsidP="00D90B3F">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1191CB98" w14:textId="77777777" w:rsidR="00D90B3F" w:rsidRDefault="00D90B3F" w:rsidP="00D90B3F">
      <w:pPr>
        <w:spacing w:after="0"/>
        <w:jc w:val="both"/>
        <w:rPr>
          <w:b/>
          <w:bCs/>
        </w:rPr>
      </w:pPr>
      <w:r w:rsidRPr="004554C3">
        <w:rPr>
          <w:b/>
          <w:bCs/>
        </w:rPr>
        <w:t xml:space="preserve">Support </w:t>
      </w:r>
      <w:r>
        <w:rPr>
          <w:b/>
          <w:bCs/>
        </w:rPr>
        <w:t xml:space="preserve">dynamic </w:t>
      </w:r>
      <w:r w:rsidRPr="004554C3">
        <w:rPr>
          <w:b/>
          <w:bCs/>
        </w:rPr>
        <w:t>indication by the IAB-node to its parent-node (via MAC-CE)</w:t>
      </w:r>
      <w:r>
        <w:rPr>
          <w:b/>
          <w:bCs/>
        </w:rPr>
        <w:t xml:space="preserve"> to </w:t>
      </w:r>
      <w:r w:rsidRPr="0071495E">
        <w:rPr>
          <w:b/>
          <w:bCs/>
        </w:rPr>
        <w:t>indicate whether the semi-static capability for enhanced multiplexing is applicable at the time.</w:t>
      </w:r>
    </w:p>
    <w:p w14:paraId="213C361A" w14:textId="77777777" w:rsidR="00D90B3F" w:rsidRDefault="00D90B3F" w:rsidP="00D90B3F">
      <w:pPr>
        <w:spacing w:after="0"/>
        <w:jc w:val="both"/>
        <w:rPr>
          <w:b/>
          <w:bCs/>
        </w:rPr>
      </w:pPr>
    </w:p>
    <w:p w14:paraId="1DF4398C" w14:textId="77777777" w:rsidR="00D90B3F" w:rsidRDefault="00D90B3F" w:rsidP="00D90B3F">
      <w:pPr>
        <w:spacing w:after="0"/>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3D5068E1" w14:textId="77777777" w:rsidR="00D90B3F" w:rsidRDefault="00D90B3F" w:rsidP="00D90B3F">
      <w:pPr>
        <w:spacing w:after="0"/>
        <w:jc w:val="both"/>
        <w:rPr>
          <w:b/>
          <w:bCs/>
        </w:rPr>
      </w:pPr>
    </w:p>
    <w:p w14:paraId="50D46258" w14:textId="77777777" w:rsidR="00D90B3F" w:rsidRPr="0071495E" w:rsidRDefault="00D90B3F" w:rsidP="00D90B3F">
      <w:pPr>
        <w:spacing w:after="0"/>
        <w:jc w:val="both"/>
        <w:rPr>
          <w:b/>
          <w:bCs/>
        </w:rPr>
      </w:pPr>
      <w:r>
        <w:rPr>
          <w:b/>
          <w:bCs/>
        </w:rPr>
        <w:t>Support indication of</w:t>
      </w:r>
      <w:r w:rsidRPr="0071495E">
        <w:rPr>
          <w:b/>
          <w:bCs/>
        </w:rPr>
        <w:t xml:space="preserve"> conditions required to realize the enhanced multiplexing capability</w:t>
      </w:r>
      <w:r>
        <w:rPr>
          <w:b/>
          <w:bCs/>
        </w:rPr>
        <w:t xml:space="preserve"> by the IAB-node to donor CU (via F1-AP) and/or parent node (via MAC-CE)</w:t>
      </w:r>
      <w:r w:rsidRPr="0071495E">
        <w:rPr>
          <w:b/>
          <w:bCs/>
        </w:rPr>
        <w:t>, such as</w:t>
      </w:r>
    </w:p>
    <w:p w14:paraId="7ECDA54E" w14:textId="77777777" w:rsidR="00D90B3F" w:rsidRDefault="00D90B3F" w:rsidP="003806DE">
      <w:pPr>
        <w:pStyle w:val="ListParagraph"/>
        <w:numPr>
          <w:ilvl w:val="0"/>
          <w:numId w:val="1"/>
        </w:numPr>
        <w:spacing w:after="0"/>
        <w:jc w:val="both"/>
        <w:rPr>
          <w:b/>
          <w:bCs/>
        </w:rPr>
      </w:pPr>
      <w:r w:rsidRPr="004554C3">
        <w:rPr>
          <w:b/>
          <w:bCs/>
        </w:rPr>
        <w:t>Required timing mode,</w:t>
      </w:r>
    </w:p>
    <w:p w14:paraId="324B8B49" w14:textId="77777777" w:rsidR="00D90B3F" w:rsidRDefault="00D90B3F" w:rsidP="003806DE">
      <w:pPr>
        <w:pStyle w:val="ListParagraph"/>
        <w:numPr>
          <w:ilvl w:val="0"/>
          <w:numId w:val="1"/>
        </w:numPr>
        <w:spacing w:after="0"/>
        <w:jc w:val="both"/>
        <w:rPr>
          <w:b/>
          <w:bCs/>
        </w:rPr>
      </w:pPr>
      <w:r w:rsidRPr="004554C3">
        <w:rPr>
          <w:b/>
          <w:bCs/>
        </w:rPr>
        <w:t>DL RX/UL TX power constraints,</w:t>
      </w:r>
    </w:p>
    <w:p w14:paraId="172B435E" w14:textId="77777777" w:rsidR="00D90B3F" w:rsidRDefault="00D90B3F" w:rsidP="003806DE">
      <w:pPr>
        <w:pStyle w:val="ListParagraph"/>
        <w:numPr>
          <w:ilvl w:val="0"/>
          <w:numId w:val="1"/>
        </w:numPr>
        <w:spacing w:after="0"/>
        <w:jc w:val="both"/>
        <w:rPr>
          <w:b/>
          <w:bCs/>
        </w:rPr>
      </w:pPr>
      <w:r w:rsidRPr="004554C3">
        <w:rPr>
          <w:b/>
          <w:bCs/>
        </w:rPr>
        <w:t>Required number of guard tones</w:t>
      </w:r>
      <w:r>
        <w:rPr>
          <w:b/>
          <w:bCs/>
        </w:rPr>
        <w:t xml:space="preserve"> for FDM</w:t>
      </w:r>
      <w:r w:rsidRPr="004554C3">
        <w:rPr>
          <w:b/>
          <w:bCs/>
        </w:rPr>
        <w:t>.</w:t>
      </w:r>
    </w:p>
    <w:p w14:paraId="71C42A70" w14:textId="77777777" w:rsidR="00D90B3F" w:rsidRDefault="00D90B3F" w:rsidP="003806DE">
      <w:pPr>
        <w:pStyle w:val="ListParagraph"/>
        <w:numPr>
          <w:ilvl w:val="0"/>
          <w:numId w:val="1"/>
        </w:numPr>
        <w:spacing w:after="0"/>
        <w:jc w:val="both"/>
        <w:rPr>
          <w:b/>
          <w:bCs/>
        </w:rPr>
      </w:pPr>
      <w:r>
        <w:rPr>
          <w:b/>
          <w:bCs/>
        </w:rPr>
        <w:t>Required number of guard symbols for adaptation of enhanced multiplexing operation.</w:t>
      </w:r>
    </w:p>
    <w:p w14:paraId="0D9CFADC" w14:textId="77777777" w:rsidR="00D90B3F" w:rsidRDefault="00D90B3F" w:rsidP="003806DE">
      <w:pPr>
        <w:pStyle w:val="ListParagraph"/>
        <w:numPr>
          <w:ilvl w:val="0"/>
          <w:numId w:val="1"/>
        </w:numPr>
        <w:spacing w:after="0"/>
        <w:jc w:val="both"/>
        <w:rPr>
          <w:b/>
          <w:bCs/>
        </w:rPr>
      </w:pPr>
      <w:r w:rsidRPr="00D56968">
        <w:rPr>
          <w:b/>
          <w:bCs/>
        </w:rPr>
        <w:t>A set of applicable beam directions (SSBs/TRPs) or child nodes.</w:t>
      </w:r>
    </w:p>
    <w:p w14:paraId="53786062" w14:textId="77777777" w:rsidR="00E72FAC" w:rsidRDefault="00E72FAC" w:rsidP="00D90B3F">
      <w:pPr>
        <w:rPr>
          <w:b/>
          <w:bCs/>
          <w:u w:val="single"/>
          <w:lang w:val="en-US"/>
        </w:rPr>
      </w:pPr>
    </w:p>
    <w:p w14:paraId="113FB817" w14:textId="77777777" w:rsidR="00E72FAC" w:rsidRDefault="00E72FAC" w:rsidP="00D90B3F">
      <w:pPr>
        <w:rPr>
          <w:b/>
          <w:bCs/>
          <w:u w:val="single"/>
          <w:lang w:val="en-US"/>
        </w:rPr>
      </w:pPr>
    </w:p>
    <w:p w14:paraId="5A507A40" w14:textId="4C165ECD" w:rsidR="00D90B3F" w:rsidRPr="00E20079" w:rsidRDefault="00D90B3F" w:rsidP="00D90B3F">
      <w:pPr>
        <w:rPr>
          <w:lang w:val="en-US"/>
        </w:rPr>
      </w:pPr>
      <w:r w:rsidRPr="00E20079">
        <w:rPr>
          <w:b/>
          <w:bCs/>
          <w:u w:val="single"/>
          <w:lang w:val="en-US"/>
        </w:rPr>
        <w:t>Proposal 3.3:</w:t>
      </w:r>
      <w:r w:rsidRPr="00E20079">
        <w:rPr>
          <w:lang w:val="en-US"/>
        </w:rPr>
        <w:t xml:space="preserve"> </w:t>
      </w:r>
    </w:p>
    <w:p w14:paraId="5C6EC928" w14:textId="77777777" w:rsidR="00D90B3F" w:rsidRDefault="00D90B3F" w:rsidP="00D90B3F">
      <w:pPr>
        <w:spacing w:after="0"/>
        <w:jc w:val="both"/>
        <w:rPr>
          <w:b/>
          <w:bCs/>
          <w:lang w:val="en-US"/>
        </w:rPr>
      </w:pPr>
      <w:r w:rsidRPr="00E20079">
        <w:rPr>
          <w:b/>
          <w:bCs/>
          <w:lang w:val="en-US"/>
        </w:rPr>
        <w:t xml:space="preserve">Extend the Rel-16 DU resource management to spatial-domain by </w:t>
      </w:r>
      <w:r w:rsidRPr="00E20079">
        <w:rPr>
          <w:b/>
          <w:bCs/>
        </w:rPr>
        <w:t xml:space="preserve">indicating </w:t>
      </w:r>
      <w:r w:rsidRPr="00E20079">
        <w:rPr>
          <w:b/>
          <w:bCs/>
          <w:lang w:val="en-US"/>
        </w:rPr>
        <w:t>DU resource type (Hard/Soft/NA) per SSB area or per TRP or per child node by donor CU to an IAB-node DU.</w:t>
      </w:r>
    </w:p>
    <w:p w14:paraId="2127F08E" w14:textId="77777777" w:rsidR="00D90B3F" w:rsidRDefault="00D90B3F" w:rsidP="00D90B3F">
      <w:pPr>
        <w:spacing w:after="0"/>
        <w:ind w:left="360"/>
        <w:jc w:val="both"/>
        <w:rPr>
          <w:b/>
          <w:bCs/>
          <w:lang w:val="en-US"/>
        </w:rPr>
      </w:pPr>
    </w:p>
    <w:p w14:paraId="14443614" w14:textId="77777777" w:rsidR="00D90B3F" w:rsidRDefault="00D90B3F" w:rsidP="00D90B3F">
      <w:pPr>
        <w:rPr>
          <w:b/>
          <w:bCs/>
          <w:u w:val="single"/>
          <w:lang w:eastAsia="zh-CN"/>
        </w:rPr>
      </w:pPr>
      <w:r>
        <w:rPr>
          <w:b/>
          <w:bCs/>
          <w:u w:val="single"/>
          <w:lang w:eastAsia="zh-CN"/>
        </w:rPr>
        <w:t>Observation 4.1</w:t>
      </w:r>
      <w:r w:rsidRPr="00D24022">
        <w:rPr>
          <w:b/>
          <w:bCs/>
          <w:u w:val="single"/>
          <w:lang w:eastAsia="zh-CN"/>
        </w:rPr>
        <w:t>:</w:t>
      </w:r>
    </w:p>
    <w:p w14:paraId="17DB637A" w14:textId="77777777" w:rsidR="00D90B3F" w:rsidRDefault="00D90B3F" w:rsidP="00D90B3F">
      <w:pPr>
        <w:rPr>
          <w:b/>
          <w:bCs/>
        </w:rPr>
      </w:pPr>
      <w:r w:rsidRPr="00880B88">
        <w:rPr>
          <w:b/>
          <w:bCs/>
        </w:rPr>
        <w:t xml:space="preserve">In Rel16, the CA TDD prioritization rules are defined only for the case </w:t>
      </w:r>
      <w:r>
        <w:rPr>
          <w:b/>
          <w:bCs/>
        </w:rPr>
        <w:t>when</w:t>
      </w:r>
      <w:r w:rsidRPr="00880B88">
        <w:rPr>
          <w:b/>
          <w:bCs/>
        </w:rPr>
        <w:t xml:space="preserve"> DCI2_0 is not configured for a UE, and it is stated in the spec that UE does not expect any directional collision among serving cells after applying the procedure.</w:t>
      </w:r>
    </w:p>
    <w:p w14:paraId="201AFA68" w14:textId="77777777" w:rsidR="000301BE" w:rsidRDefault="000301BE" w:rsidP="00D90B3F">
      <w:pPr>
        <w:rPr>
          <w:b/>
          <w:bCs/>
          <w:u w:val="single"/>
          <w:lang w:eastAsia="zh-CN"/>
        </w:rPr>
      </w:pPr>
    </w:p>
    <w:p w14:paraId="504C1E1C" w14:textId="77777777" w:rsidR="000301BE" w:rsidRDefault="000301BE" w:rsidP="00D90B3F">
      <w:pPr>
        <w:rPr>
          <w:b/>
          <w:bCs/>
          <w:u w:val="single"/>
          <w:lang w:eastAsia="zh-CN"/>
        </w:rPr>
      </w:pPr>
    </w:p>
    <w:p w14:paraId="5683FA5D" w14:textId="46053196" w:rsidR="00D90B3F" w:rsidRDefault="00D90B3F" w:rsidP="00D90B3F">
      <w:pPr>
        <w:rPr>
          <w:b/>
          <w:bCs/>
          <w:u w:val="single"/>
          <w:lang w:eastAsia="zh-CN"/>
        </w:rPr>
      </w:pPr>
      <w:r>
        <w:rPr>
          <w:b/>
          <w:bCs/>
          <w:u w:val="single"/>
          <w:lang w:eastAsia="zh-CN"/>
        </w:rPr>
        <w:lastRenderedPageBreak/>
        <w:t>Observation 4.2</w:t>
      </w:r>
      <w:r w:rsidRPr="00D24022">
        <w:rPr>
          <w:b/>
          <w:bCs/>
          <w:u w:val="single"/>
          <w:lang w:eastAsia="zh-CN"/>
        </w:rPr>
        <w:t>:</w:t>
      </w:r>
    </w:p>
    <w:p w14:paraId="2028A0B9" w14:textId="77777777" w:rsidR="00D90B3F" w:rsidRDefault="00D90B3F" w:rsidP="00D90B3F">
      <w:pPr>
        <w:rPr>
          <w:b/>
          <w:bCs/>
          <w:lang w:val="en-US"/>
        </w:rPr>
      </w:pPr>
      <w:r w:rsidRPr="006059D8">
        <w:rPr>
          <w:b/>
          <w:bCs/>
          <w:lang w:val="en-US"/>
        </w:rPr>
        <w:t>In Rel16, the CA TDD prioritization rules can be divided into two sets</w:t>
      </w:r>
    </w:p>
    <w:p w14:paraId="51AA9200" w14:textId="77777777" w:rsidR="00D90B3F" w:rsidRDefault="00D90B3F" w:rsidP="003806DE">
      <w:pPr>
        <w:pStyle w:val="ListParagraph"/>
        <w:numPr>
          <w:ilvl w:val="0"/>
          <w:numId w:val="9"/>
        </w:numPr>
        <w:rPr>
          <w:b/>
          <w:bCs/>
          <w:lang w:val="en-US"/>
        </w:rPr>
      </w:pPr>
      <w:r w:rsidRPr="003C030D">
        <w:rPr>
          <w:b/>
          <w:bCs/>
          <w:lang w:val="en-US"/>
        </w:rPr>
        <w:t>Set1 for confliction avoidance</w:t>
      </w:r>
      <w:r>
        <w:rPr>
          <w:b/>
          <w:bCs/>
          <w:lang w:val="en-US"/>
        </w:rPr>
        <w:t>, wherein</w:t>
      </w:r>
      <w:r w:rsidRPr="003C030D">
        <w:rPr>
          <w:b/>
          <w:bCs/>
          <w:lang w:val="en-US"/>
        </w:rPr>
        <w:t xml:space="preserve"> rules</w:t>
      </w:r>
      <w:r>
        <w:rPr>
          <w:b/>
          <w:bCs/>
          <w:lang w:val="en-US"/>
        </w:rPr>
        <w:t xml:space="preserve"> are</w:t>
      </w:r>
      <w:r w:rsidRPr="003C030D">
        <w:rPr>
          <w:b/>
          <w:bCs/>
          <w:lang w:val="en-US"/>
        </w:rPr>
        <w:t xml:space="preserve"> defined as “</w:t>
      </w:r>
      <w:r w:rsidRPr="00EB651B">
        <w:rPr>
          <w:b/>
          <w:bCs/>
          <w:i/>
          <w:iCs/>
          <w:lang w:val="en-US"/>
        </w:rPr>
        <w:t>UE does not expect …</w:t>
      </w:r>
      <w:r w:rsidRPr="00EB651B">
        <w:rPr>
          <w:b/>
          <w:bCs/>
          <w:lang w:val="en-US"/>
        </w:rPr>
        <w:t>.</w:t>
      </w:r>
      <w:r>
        <w:rPr>
          <w:b/>
          <w:bCs/>
          <w:lang w:val="en-US"/>
        </w:rPr>
        <w:t xml:space="preserve">” over </w:t>
      </w:r>
      <w:r w:rsidRPr="003C030D">
        <w:rPr>
          <w:b/>
          <w:bCs/>
          <w:lang w:val="en-US"/>
        </w:rPr>
        <w:t xml:space="preserve">a </w:t>
      </w:r>
      <w:r>
        <w:rPr>
          <w:b/>
          <w:bCs/>
          <w:lang w:val="en-US"/>
        </w:rPr>
        <w:t xml:space="preserve">potential </w:t>
      </w:r>
      <w:r w:rsidRPr="003C030D">
        <w:rPr>
          <w:b/>
          <w:bCs/>
          <w:lang w:val="en-US"/>
        </w:rPr>
        <w:t xml:space="preserve">conflicting scenario. These rules impose constraint on </w:t>
      </w:r>
      <w:proofErr w:type="spellStart"/>
      <w:r w:rsidRPr="003C030D">
        <w:rPr>
          <w:b/>
          <w:bCs/>
          <w:lang w:val="en-US"/>
        </w:rPr>
        <w:t>gNB’s</w:t>
      </w:r>
      <w:proofErr w:type="spellEnd"/>
      <w:r w:rsidRPr="003C030D">
        <w:rPr>
          <w:b/>
          <w:bCs/>
          <w:lang w:val="en-US"/>
        </w:rPr>
        <w:t xml:space="preserve"> resource configuration or MAC scheduler to avoid specified conflicting scenario.</w:t>
      </w:r>
    </w:p>
    <w:p w14:paraId="17AFFE11" w14:textId="77777777" w:rsidR="00D90B3F" w:rsidRPr="00157A51" w:rsidRDefault="00D90B3F" w:rsidP="003806DE">
      <w:pPr>
        <w:pStyle w:val="ListParagraph"/>
        <w:numPr>
          <w:ilvl w:val="0"/>
          <w:numId w:val="9"/>
        </w:numPr>
        <w:rPr>
          <w:b/>
          <w:bCs/>
          <w:lang w:val="en-US"/>
        </w:rPr>
      </w:pPr>
      <w:r w:rsidRPr="00A609E8">
        <w:rPr>
          <w:b/>
          <w:bCs/>
        </w:rPr>
        <w:t>Set2 for confliction resolution, wherein rules are defined for UE to select one operation over the other operation when a confliction scenario occurs.</w:t>
      </w:r>
    </w:p>
    <w:p w14:paraId="55B29383" w14:textId="77777777" w:rsidR="00D90B3F" w:rsidRDefault="00D90B3F" w:rsidP="00D90B3F">
      <w:pPr>
        <w:rPr>
          <w:b/>
          <w:u w:val="single"/>
          <w:lang w:eastAsia="zh-CN"/>
        </w:rPr>
      </w:pPr>
      <w:r>
        <w:rPr>
          <w:b/>
          <w:bCs/>
          <w:u w:val="single"/>
          <w:lang w:eastAsia="zh-CN"/>
        </w:rPr>
        <w:t>Observation 4.3</w:t>
      </w:r>
      <w:r w:rsidRPr="00D24022">
        <w:rPr>
          <w:b/>
          <w:bCs/>
          <w:u w:val="single"/>
          <w:lang w:eastAsia="zh-CN"/>
        </w:rPr>
        <w:t>:</w:t>
      </w:r>
      <w:r>
        <w:t xml:space="preserve">    </w:t>
      </w:r>
      <w:r w:rsidRPr="009F2B53">
        <w:rPr>
          <w:i/>
          <w:iCs/>
          <w:lang w:val="en-US"/>
        </w:rPr>
        <w:t xml:space="preserve"> </w:t>
      </w:r>
      <w:r>
        <w:t xml:space="preserve">        </w:t>
      </w:r>
    </w:p>
    <w:p w14:paraId="3ED1F16A" w14:textId="77777777" w:rsidR="00D90B3F" w:rsidRPr="00183606" w:rsidRDefault="00D90B3F" w:rsidP="00D90B3F">
      <w:pPr>
        <w:rPr>
          <w:b/>
          <w:bCs/>
        </w:rPr>
      </w:pPr>
      <w:r w:rsidRPr="00183606">
        <w:rPr>
          <w:b/>
          <w:bCs/>
        </w:rPr>
        <w:t>The reuse of Rel-16 CA TDD prioritization rules to NR-DC can be possible if the required resource</w:t>
      </w:r>
      <w:r>
        <w:rPr>
          <w:b/>
          <w:bCs/>
        </w:rPr>
        <w:t xml:space="preserve"> </w:t>
      </w:r>
      <w:r w:rsidRPr="00183606">
        <w:rPr>
          <w:b/>
          <w:bCs/>
        </w:rPr>
        <w:t xml:space="preserve">coordination between Donor CUs to avoid the specified confliction scenarios </w:t>
      </w:r>
      <w:r>
        <w:rPr>
          <w:b/>
          <w:bCs/>
        </w:rPr>
        <w:t>is</w:t>
      </w:r>
      <w:r w:rsidRPr="00183606">
        <w:rPr>
          <w:b/>
          <w:bCs/>
        </w:rPr>
        <w:t xml:space="preserve"> supported.</w:t>
      </w:r>
    </w:p>
    <w:p w14:paraId="17274DC5" w14:textId="77777777" w:rsidR="00D90B3F" w:rsidRDefault="00D90B3F" w:rsidP="00D90B3F">
      <w:pPr>
        <w:rPr>
          <w:b/>
          <w:bCs/>
          <w:u w:val="single"/>
          <w:lang w:eastAsia="zh-CN"/>
        </w:rPr>
      </w:pPr>
      <w:r>
        <w:rPr>
          <w:b/>
          <w:bCs/>
          <w:u w:val="single"/>
          <w:lang w:eastAsia="zh-CN"/>
        </w:rPr>
        <w:t>Proposal 4.1</w:t>
      </w:r>
      <w:r w:rsidRPr="00D24022">
        <w:rPr>
          <w:b/>
          <w:bCs/>
          <w:u w:val="single"/>
          <w:lang w:eastAsia="zh-CN"/>
        </w:rPr>
        <w:t>:</w:t>
      </w:r>
    </w:p>
    <w:p w14:paraId="59DF455F" w14:textId="77777777" w:rsidR="00D90B3F" w:rsidRPr="00A509F3" w:rsidRDefault="00D90B3F" w:rsidP="00D90B3F">
      <w:pPr>
        <w:rPr>
          <w:b/>
          <w:bCs/>
          <w:lang w:val="en-US"/>
        </w:rPr>
      </w:pPr>
      <w:r w:rsidRPr="00A509F3">
        <w:rPr>
          <w:b/>
          <w:bCs/>
          <w:lang w:val="en-US"/>
        </w:rPr>
        <w:t xml:space="preserve">To minimize spec impact, support of reusing CA TDD prioritization rules to NR-DC and rely on proper resource coordination between parents/Donors for achieving these rules. </w:t>
      </w:r>
    </w:p>
    <w:p w14:paraId="6575404D" w14:textId="77777777" w:rsidR="00D90B3F" w:rsidRPr="00526064" w:rsidRDefault="00D90B3F" w:rsidP="003806DE">
      <w:pPr>
        <w:pStyle w:val="ListParagraph"/>
        <w:numPr>
          <w:ilvl w:val="0"/>
          <w:numId w:val="17"/>
        </w:numPr>
        <w:rPr>
          <w:b/>
          <w:bCs/>
          <w:lang w:val="en-US"/>
        </w:rPr>
      </w:pPr>
      <w:r w:rsidRPr="00157A51">
        <w:rPr>
          <w:b/>
          <w:bCs/>
          <w:lang w:val="en-US"/>
        </w:rPr>
        <w:t>FFS: resource coordination messages</w:t>
      </w:r>
    </w:p>
    <w:p w14:paraId="5E30AE4D" w14:textId="77777777" w:rsidR="00D90B3F" w:rsidRDefault="00D90B3F" w:rsidP="00D90B3F">
      <w:r>
        <w:rPr>
          <w:b/>
          <w:bCs/>
          <w:u w:val="single"/>
          <w:lang w:eastAsia="zh-CN"/>
        </w:rPr>
        <w:t>Observation 4.4</w:t>
      </w:r>
      <w:r w:rsidRPr="00D24022">
        <w:rPr>
          <w:b/>
          <w:bCs/>
          <w:u w:val="single"/>
          <w:lang w:eastAsia="zh-CN"/>
        </w:rPr>
        <w:t>:</w:t>
      </w:r>
    </w:p>
    <w:p w14:paraId="0C9BA222" w14:textId="77777777" w:rsidR="00D90B3F" w:rsidRDefault="00D90B3F" w:rsidP="00D90B3F">
      <w:pPr>
        <w:rPr>
          <w:b/>
          <w:bCs/>
        </w:rPr>
      </w:pPr>
      <w:r>
        <w:rPr>
          <w:b/>
          <w:bCs/>
        </w:rPr>
        <w:t xml:space="preserve">In FR2 or higher band, due to </w:t>
      </w:r>
      <w:proofErr w:type="spellStart"/>
      <w:r>
        <w:rPr>
          <w:b/>
          <w:bCs/>
        </w:rPr>
        <w:t>analog</w:t>
      </w:r>
      <w:proofErr w:type="spellEnd"/>
      <w:r>
        <w:rPr>
          <w:b/>
          <w:bCs/>
        </w:rPr>
        <w:t xml:space="preserve"> beam constraint, a dual-connected UE/MT may not have the capability </w:t>
      </w:r>
      <w:r w:rsidRPr="00F574E8">
        <w:rPr>
          <w:b/>
          <w:bCs/>
          <w:lang w:val="en-US"/>
        </w:rPr>
        <w:t>to simultaneously receive from two parent nodes and/or simultaneously transmit to two parent nodes</w:t>
      </w:r>
      <w:r>
        <w:rPr>
          <w:b/>
          <w:bCs/>
          <w:lang w:val="en-US"/>
        </w:rPr>
        <w:t>, and the impact to support multiple-parent in IAB needs to be investigated</w:t>
      </w:r>
      <w:r>
        <w:rPr>
          <w:b/>
          <w:bCs/>
        </w:rPr>
        <w:t>.</w:t>
      </w:r>
    </w:p>
    <w:p w14:paraId="49A7A3E1" w14:textId="77777777" w:rsidR="00D90B3F" w:rsidRDefault="00D90B3F" w:rsidP="00D90B3F">
      <w:pPr>
        <w:rPr>
          <w:b/>
          <w:bCs/>
          <w:u w:val="single"/>
          <w:lang w:val="en-US" w:eastAsia="x-none"/>
        </w:rPr>
      </w:pPr>
      <w:r w:rsidRPr="00FD30A9">
        <w:rPr>
          <w:b/>
          <w:bCs/>
          <w:u w:val="single"/>
          <w:lang w:val="en-US" w:eastAsia="x-none"/>
        </w:rPr>
        <w:t>Proposal 4.2:</w:t>
      </w:r>
    </w:p>
    <w:p w14:paraId="3F46CB0D" w14:textId="77777777" w:rsidR="00D90B3F" w:rsidRDefault="00D90B3F" w:rsidP="00D90B3F">
      <w:pPr>
        <w:rPr>
          <w:b/>
          <w:bCs/>
          <w:lang w:eastAsia="x-none"/>
        </w:rPr>
      </w:pPr>
      <w:r w:rsidRPr="00FD30A9">
        <w:rPr>
          <w:b/>
          <w:bCs/>
          <w:lang w:eastAsia="x-none"/>
        </w:rPr>
        <w:t xml:space="preserve">For an IAB-node with multi-parents, the DCI2_5 received from </w:t>
      </w:r>
      <w:r>
        <w:rPr>
          <w:b/>
          <w:bCs/>
          <w:lang w:eastAsia="x-none"/>
        </w:rPr>
        <w:t xml:space="preserve">one </w:t>
      </w:r>
      <w:r w:rsidRPr="00FD30A9">
        <w:rPr>
          <w:b/>
          <w:bCs/>
          <w:lang w:eastAsia="x-none"/>
        </w:rPr>
        <w:t>parent indicates availability of soft resources at an IAB-DU cell relative to the serving cells</w:t>
      </w:r>
      <w:r>
        <w:rPr>
          <w:b/>
          <w:bCs/>
          <w:lang w:eastAsia="x-none"/>
        </w:rPr>
        <w:t xml:space="preserve"> of IAB-MT in the cell group</w:t>
      </w:r>
      <w:r w:rsidRPr="00FD30A9">
        <w:rPr>
          <w:b/>
          <w:bCs/>
          <w:lang w:eastAsia="x-none"/>
        </w:rPr>
        <w:t xml:space="preserve"> associated with </w:t>
      </w:r>
      <w:r>
        <w:rPr>
          <w:b/>
          <w:bCs/>
          <w:lang w:eastAsia="x-none"/>
        </w:rPr>
        <w:t xml:space="preserve">this </w:t>
      </w:r>
      <w:r w:rsidRPr="00FD30A9">
        <w:rPr>
          <w:b/>
          <w:bCs/>
          <w:lang w:eastAsia="x-none"/>
        </w:rPr>
        <w:t>parent</w:t>
      </w:r>
      <w:r>
        <w:rPr>
          <w:b/>
          <w:bCs/>
          <w:lang w:eastAsia="x-none"/>
        </w:rPr>
        <w:t xml:space="preserve"> node</w:t>
      </w:r>
      <w:r w:rsidRPr="00FD30A9">
        <w:rPr>
          <w:b/>
          <w:bCs/>
          <w:lang w:eastAsia="x-none"/>
        </w:rPr>
        <w:t>.</w:t>
      </w:r>
    </w:p>
    <w:p w14:paraId="19E8832C" w14:textId="77777777" w:rsidR="00D90B3F" w:rsidRDefault="00D90B3F" w:rsidP="00D90B3F">
      <w:r>
        <w:rPr>
          <w:b/>
          <w:bCs/>
          <w:u w:val="single"/>
          <w:lang w:eastAsia="zh-CN"/>
        </w:rPr>
        <w:t>Proposal 4.3</w:t>
      </w:r>
      <w:r w:rsidRPr="00D24022">
        <w:rPr>
          <w:b/>
          <w:bCs/>
          <w:u w:val="single"/>
          <w:lang w:eastAsia="zh-CN"/>
        </w:rPr>
        <w:t>:</w:t>
      </w:r>
    </w:p>
    <w:p w14:paraId="07FCF379" w14:textId="77777777" w:rsidR="00D90B3F" w:rsidRDefault="00D90B3F" w:rsidP="00D90B3F">
      <w:pPr>
        <w:rPr>
          <w:b/>
          <w:bCs/>
          <w:i/>
          <w:iCs/>
        </w:rPr>
      </w:pPr>
      <w:r w:rsidRPr="00FA65BB">
        <w:rPr>
          <w:b/>
          <w:bCs/>
        </w:rPr>
        <w:t xml:space="preserve">The RAN1-105e agreement on availability of soft resources at an IAB-node shall be </w:t>
      </w:r>
      <w:r w:rsidRPr="00BB1825">
        <w:rPr>
          <w:b/>
          <w:bCs/>
          <w:color w:val="FF0000"/>
        </w:rPr>
        <w:t>modified</w:t>
      </w:r>
      <w:r w:rsidRPr="00FA65BB">
        <w:rPr>
          <w:b/>
          <w:bCs/>
        </w:rPr>
        <w:t xml:space="preserve"> as “</w:t>
      </w:r>
      <w:r w:rsidRPr="00FA65BB">
        <w:rPr>
          <w:b/>
          <w:bCs/>
          <w:i/>
          <w:iCs/>
        </w:rPr>
        <w:t>For an IAB-MT with multiple serving cells (including the case with two parent nodes), a per-cell IAB-DU soft resource is considered as available if the resource</w:t>
      </w:r>
      <w:r>
        <w:rPr>
          <w:b/>
          <w:bCs/>
          <w:i/>
          <w:iCs/>
        </w:rPr>
        <w:t xml:space="preserve"> </w:t>
      </w:r>
      <w:r w:rsidRPr="00FA65BB">
        <w:rPr>
          <w:b/>
          <w:bCs/>
          <w:i/>
          <w:iCs/>
          <w:strike/>
        </w:rPr>
        <w:t>is either explicitly indicated (via DCI 2_5), or implicitly determined as available with respect to all serving cells</w:t>
      </w:r>
      <w:r w:rsidRPr="00FA65BB">
        <w:rPr>
          <w:b/>
          <w:bCs/>
          <w:i/>
          <w:iCs/>
        </w:rPr>
        <w:t xml:space="preserve"> </w:t>
      </w:r>
      <w:r w:rsidRPr="00FA65BB">
        <w:rPr>
          <w:b/>
          <w:bCs/>
          <w:i/>
          <w:iCs/>
          <w:color w:val="FF0000"/>
        </w:rPr>
        <w:t xml:space="preserve">can be determined as available with respect to all serving cells of IAB-MT, where the determination with respect to </w:t>
      </w:r>
      <w:r>
        <w:rPr>
          <w:b/>
          <w:bCs/>
          <w:i/>
          <w:iCs/>
          <w:color w:val="FF0000"/>
        </w:rPr>
        <w:t>a</w:t>
      </w:r>
      <w:r w:rsidRPr="00FA65BB">
        <w:rPr>
          <w:b/>
          <w:bCs/>
          <w:i/>
          <w:iCs/>
          <w:color w:val="FF0000"/>
        </w:rPr>
        <w:t xml:space="preserve"> serving cell can be done either by explicit indication via DCI2_5 or implicit determination.</w:t>
      </w:r>
      <w:r w:rsidRPr="00FA65BB">
        <w:rPr>
          <w:b/>
          <w:bCs/>
          <w:i/>
          <w:iCs/>
        </w:rPr>
        <w:t>”</w:t>
      </w:r>
    </w:p>
    <w:p w14:paraId="0E151D2F" w14:textId="77777777" w:rsidR="00D90B3F" w:rsidRDefault="00D90B3F" w:rsidP="00D90B3F">
      <w:pPr>
        <w:rPr>
          <w:b/>
          <w:bCs/>
          <w:u w:val="single"/>
          <w:lang w:eastAsia="zh-CN"/>
        </w:rPr>
      </w:pPr>
      <w:r>
        <w:rPr>
          <w:b/>
          <w:bCs/>
          <w:u w:val="single"/>
          <w:lang w:eastAsia="zh-CN"/>
        </w:rPr>
        <w:t>Proposal 5.1</w:t>
      </w:r>
      <w:r w:rsidRPr="00D24022">
        <w:rPr>
          <w:b/>
          <w:bCs/>
          <w:u w:val="single"/>
          <w:lang w:eastAsia="zh-CN"/>
        </w:rPr>
        <w:t>:</w:t>
      </w:r>
    </w:p>
    <w:p w14:paraId="5B0D5EB4" w14:textId="77777777" w:rsidR="00D90B3F" w:rsidRDefault="00D90B3F" w:rsidP="00D90B3F">
      <w:pPr>
        <w:rPr>
          <w:b/>
          <w:bCs/>
        </w:rPr>
      </w:pPr>
      <w:r>
        <w:rPr>
          <w:b/>
          <w:bCs/>
        </w:rPr>
        <w:t>For RAN3-212974 LS on IAB Resource Multiplexing, s</w:t>
      </w:r>
      <w:r w:rsidRPr="00467735">
        <w:rPr>
          <w:b/>
          <w:bCs/>
        </w:rPr>
        <w:t>upport both option1 and option2 with required coordination message</w:t>
      </w:r>
      <w:r>
        <w:rPr>
          <w:b/>
          <w:bCs/>
        </w:rPr>
        <w:t>s</w:t>
      </w:r>
      <w:r w:rsidRPr="00467735">
        <w:rPr>
          <w:b/>
          <w:bCs/>
        </w:rPr>
        <w:t xml:space="preserve"> between donor CUs, and leave coordination with Option1 and/or Option2 up to CU’s implementation.</w:t>
      </w:r>
    </w:p>
    <w:p w14:paraId="2AF6F5EF" w14:textId="77777777" w:rsidR="00D90B3F" w:rsidRDefault="00D90B3F" w:rsidP="00D90B3F">
      <w:pPr>
        <w:rPr>
          <w:b/>
          <w:bCs/>
          <w:u w:val="single"/>
          <w:lang w:eastAsia="zh-CN"/>
        </w:rPr>
      </w:pPr>
      <w:r>
        <w:rPr>
          <w:b/>
          <w:bCs/>
          <w:u w:val="single"/>
          <w:lang w:eastAsia="zh-CN"/>
        </w:rPr>
        <w:t>Observation 5.1</w:t>
      </w:r>
      <w:r w:rsidRPr="00D24022">
        <w:rPr>
          <w:b/>
          <w:bCs/>
          <w:u w:val="single"/>
          <w:lang w:eastAsia="zh-CN"/>
        </w:rPr>
        <w:t>:</w:t>
      </w:r>
    </w:p>
    <w:p w14:paraId="5F45A3CB" w14:textId="77777777" w:rsidR="00D90B3F" w:rsidRDefault="00D90B3F" w:rsidP="00D90B3F">
      <w:pPr>
        <w:rPr>
          <w:b/>
          <w:bCs/>
          <w:lang w:eastAsia="zh-CN"/>
        </w:rPr>
      </w:pPr>
      <w:r w:rsidRPr="00985216">
        <w:rPr>
          <w:b/>
          <w:bCs/>
          <w:lang w:eastAsia="zh-CN"/>
        </w:rPr>
        <w:t>For</w:t>
      </w:r>
      <w:r>
        <w:rPr>
          <w:b/>
          <w:bCs/>
          <w:lang w:eastAsia="zh-CN"/>
        </w:rPr>
        <w:t xml:space="preserve"> RAN3-212981 LS on inter-donor migration, we don’t envision any major technical issues for Alt1 and Alt2.</w:t>
      </w:r>
    </w:p>
    <w:p w14:paraId="0DA99803" w14:textId="5BAF1615" w:rsidR="00D90B3F" w:rsidRDefault="00D90B3F" w:rsidP="003806DE">
      <w:pPr>
        <w:pStyle w:val="ListParagraph"/>
        <w:numPr>
          <w:ilvl w:val="0"/>
          <w:numId w:val="15"/>
        </w:numPr>
        <w:rPr>
          <w:b/>
          <w:bCs/>
          <w:lang w:eastAsia="zh-CN"/>
        </w:rPr>
      </w:pPr>
      <w:r>
        <w:rPr>
          <w:b/>
          <w:bCs/>
          <w:lang w:eastAsia="zh-CN"/>
        </w:rPr>
        <w:t>Depending on UE’s implementation on handling PCI collision, there may or may not be some concerns on Alt2 with the case of using same PCI over two cells that share the same physical resources (</w:t>
      </w:r>
      <w:r w:rsidR="00F21745">
        <w:rPr>
          <w:b/>
          <w:bCs/>
          <w:lang w:eastAsia="zh-CN"/>
        </w:rPr>
        <w:t>e.g.,</w:t>
      </w:r>
      <w:r>
        <w:rPr>
          <w:b/>
          <w:bCs/>
          <w:lang w:eastAsia="zh-CN"/>
        </w:rPr>
        <w:t xml:space="preserve"> same carrier).   </w:t>
      </w:r>
    </w:p>
    <w:p w14:paraId="17CDB051" w14:textId="77777777" w:rsidR="000301BE" w:rsidRDefault="000301BE" w:rsidP="00D90B3F">
      <w:pPr>
        <w:rPr>
          <w:b/>
          <w:bCs/>
          <w:u w:val="single"/>
          <w:lang w:eastAsia="zh-CN"/>
        </w:rPr>
      </w:pPr>
    </w:p>
    <w:p w14:paraId="00008B3B" w14:textId="77777777" w:rsidR="000301BE" w:rsidRDefault="000301BE" w:rsidP="00D90B3F">
      <w:pPr>
        <w:rPr>
          <w:b/>
          <w:bCs/>
          <w:u w:val="single"/>
          <w:lang w:eastAsia="zh-CN"/>
        </w:rPr>
      </w:pPr>
    </w:p>
    <w:p w14:paraId="3F0412E8" w14:textId="77777777" w:rsidR="000301BE" w:rsidRDefault="000301BE" w:rsidP="00D90B3F">
      <w:pPr>
        <w:rPr>
          <w:b/>
          <w:bCs/>
          <w:u w:val="single"/>
          <w:lang w:eastAsia="zh-CN"/>
        </w:rPr>
      </w:pPr>
    </w:p>
    <w:p w14:paraId="760EC1C7" w14:textId="77777777" w:rsidR="000301BE" w:rsidRDefault="000301BE" w:rsidP="00D90B3F">
      <w:pPr>
        <w:rPr>
          <w:b/>
          <w:bCs/>
          <w:u w:val="single"/>
          <w:lang w:eastAsia="zh-CN"/>
        </w:rPr>
      </w:pPr>
    </w:p>
    <w:p w14:paraId="663257D1" w14:textId="77777777" w:rsidR="000301BE" w:rsidRDefault="000301BE" w:rsidP="00D90B3F">
      <w:pPr>
        <w:rPr>
          <w:b/>
          <w:bCs/>
          <w:u w:val="single"/>
          <w:lang w:eastAsia="zh-CN"/>
        </w:rPr>
      </w:pPr>
    </w:p>
    <w:p w14:paraId="5E2487A7" w14:textId="77777777" w:rsidR="000301BE" w:rsidRDefault="000301BE" w:rsidP="00D90B3F">
      <w:pPr>
        <w:rPr>
          <w:b/>
          <w:bCs/>
          <w:u w:val="single"/>
          <w:lang w:eastAsia="zh-CN"/>
        </w:rPr>
      </w:pPr>
    </w:p>
    <w:p w14:paraId="3E3968D5" w14:textId="345FE6C3" w:rsidR="00D90B3F" w:rsidRPr="003E67BD" w:rsidRDefault="00D90B3F" w:rsidP="00D90B3F">
      <w:pPr>
        <w:rPr>
          <w:b/>
          <w:bCs/>
          <w:u w:val="single"/>
          <w:lang w:eastAsia="zh-CN"/>
        </w:rPr>
      </w:pPr>
      <w:r w:rsidRPr="003E67BD">
        <w:rPr>
          <w:b/>
          <w:bCs/>
          <w:u w:val="single"/>
          <w:lang w:eastAsia="zh-CN"/>
        </w:rPr>
        <w:lastRenderedPageBreak/>
        <w:t>Observation 5.</w:t>
      </w:r>
      <w:r>
        <w:rPr>
          <w:b/>
          <w:bCs/>
          <w:u w:val="single"/>
          <w:lang w:eastAsia="zh-CN"/>
        </w:rPr>
        <w:t>2</w:t>
      </w:r>
      <w:r w:rsidRPr="003E67BD">
        <w:rPr>
          <w:b/>
          <w:bCs/>
          <w:u w:val="single"/>
          <w:lang w:eastAsia="zh-CN"/>
        </w:rPr>
        <w:t>:</w:t>
      </w:r>
    </w:p>
    <w:p w14:paraId="3B7780A1" w14:textId="77777777" w:rsidR="00D90B3F" w:rsidRDefault="00D90B3F" w:rsidP="00D90B3F">
      <w:pPr>
        <w:rPr>
          <w:b/>
          <w:bCs/>
          <w:lang w:eastAsia="zh-CN"/>
        </w:rPr>
      </w:pPr>
      <w:r w:rsidRPr="003E67BD">
        <w:rPr>
          <w:b/>
          <w:bCs/>
          <w:lang w:eastAsia="zh-CN"/>
        </w:rPr>
        <w:t>For RAN3-212981 LS on inter-donor migration,</w:t>
      </w:r>
      <w:r>
        <w:rPr>
          <w:b/>
          <w:bCs/>
          <w:lang w:eastAsia="zh-CN"/>
        </w:rPr>
        <w:t xml:space="preserve"> we provide the following responses to RAN3’s specific questions on Alt2.</w:t>
      </w:r>
    </w:p>
    <w:p w14:paraId="728E84BD" w14:textId="77777777" w:rsidR="00D90B3F" w:rsidRDefault="00D90B3F" w:rsidP="003806DE">
      <w:pPr>
        <w:numPr>
          <w:ilvl w:val="0"/>
          <w:numId w:val="15"/>
        </w:numPr>
        <w:spacing w:after="0"/>
        <w:rPr>
          <w:b/>
          <w:bCs/>
          <w:lang w:val="en-US" w:eastAsia="zh-CN"/>
        </w:rPr>
      </w:pPr>
      <w:r w:rsidRPr="003F06A3">
        <w:rPr>
          <w:b/>
          <w:bCs/>
          <w:lang w:val="en-US" w:eastAsia="zh-CN"/>
        </w:rPr>
        <w:t>Q1: Whether the current specification enables a RRC CONNECTED UE remains connected, while observing the change of NCGI, and no change to the PCI?</w:t>
      </w:r>
    </w:p>
    <w:p w14:paraId="60874836" w14:textId="77777777" w:rsidR="00D90B3F" w:rsidRPr="003F06A3" w:rsidRDefault="00D90B3F" w:rsidP="003806DE">
      <w:pPr>
        <w:numPr>
          <w:ilvl w:val="1"/>
          <w:numId w:val="15"/>
        </w:numPr>
        <w:spacing w:after="0"/>
        <w:rPr>
          <w:b/>
          <w:bCs/>
          <w:lang w:val="en-US" w:eastAsia="zh-CN"/>
        </w:rPr>
      </w:pPr>
      <w:r>
        <w:rPr>
          <w:b/>
          <w:bCs/>
          <w:lang w:val="en-US" w:eastAsia="zh-CN"/>
        </w:rPr>
        <w:t>A</w:t>
      </w:r>
      <w:r w:rsidRPr="003F06A3">
        <w:rPr>
          <w:b/>
          <w:bCs/>
          <w:lang w:val="en-US" w:eastAsia="zh-CN"/>
        </w:rPr>
        <w:t xml:space="preserve">: Assume that </w:t>
      </w:r>
      <w:r>
        <w:rPr>
          <w:b/>
          <w:bCs/>
          <w:lang w:val="en-US" w:eastAsia="zh-CN"/>
        </w:rPr>
        <w:t>different</w:t>
      </w:r>
      <w:r w:rsidRPr="003F06A3">
        <w:rPr>
          <w:b/>
          <w:bCs/>
          <w:lang w:val="en-US" w:eastAsia="zh-CN"/>
        </w:rPr>
        <w:t xml:space="preserve"> cell</w:t>
      </w:r>
      <w:r>
        <w:rPr>
          <w:b/>
          <w:bCs/>
          <w:lang w:val="en-US" w:eastAsia="zh-CN"/>
        </w:rPr>
        <w:t xml:space="preserve">s are allocated with orthogonal time/frequency resources </w:t>
      </w:r>
      <w:r w:rsidRPr="003F06A3">
        <w:rPr>
          <w:b/>
          <w:bCs/>
          <w:lang w:val="en-US" w:eastAsia="zh-CN"/>
        </w:rPr>
        <w:t>on SSB/</w:t>
      </w:r>
      <w:r>
        <w:rPr>
          <w:b/>
          <w:bCs/>
          <w:lang w:val="en-US" w:eastAsia="zh-CN"/>
        </w:rPr>
        <w:t>RMSI</w:t>
      </w:r>
      <w:r w:rsidRPr="003F06A3">
        <w:rPr>
          <w:b/>
          <w:bCs/>
          <w:lang w:val="en-US" w:eastAsia="zh-CN"/>
        </w:rPr>
        <w:t xml:space="preserve"> etc.</w:t>
      </w:r>
      <w:r>
        <w:rPr>
          <w:b/>
          <w:bCs/>
          <w:lang w:val="en-US" w:eastAsia="zh-CN"/>
        </w:rPr>
        <w:t>,</w:t>
      </w:r>
      <w:r w:rsidRPr="003F06A3">
        <w:rPr>
          <w:b/>
          <w:bCs/>
          <w:lang w:val="en-US" w:eastAsia="zh-CN"/>
        </w:rPr>
        <w:t xml:space="preserve"> </w:t>
      </w:r>
      <w:r>
        <w:rPr>
          <w:b/>
          <w:bCs/>
          <w:lang w:val="en-US" w:eastAsia="zh-CN"/>
        </w:rPr>
        <w:t xml:space="preserve">a RRC-connected </w:t>
      </w:r>
      <w:r w:rsidRPr="003F06A3">
        <w:rPr>
          <w:b/>
          <w:bCs/>
          <w:lang w:val="en-US" w:eastAsia="zh-CN"/>
        </w:rPr>
        <w:t xml:space="preserve">UE </w:t>
      </w:r>
      <w:r>
        <w:rPr>
          <w:b/>
          <w:bCs/>
          <w:lang w:val="en-US" w:eastAsia="zh-CN"/>
        </w:rPr>
        <w:t>only</w:t>
      </w:r>
      <w:r w:rsidRPr="003F06A3">
        <w:rPr>
          <w:b/>
          <w:bCs/>
          <w:lang w:val="en-US" w:eastAsia="zh-CN"/>
        </w:rPr>
        <w:t xml:space="preserve"> need</w:t>
      </w:r>
      <w:r>
        <w:rPr>
          <w:b/>
          <w:bCs/>
          <w:lang w:val="en-US" w:eastAsia="zh-CN"/>
        </w:rPr>
        <w:t>s</w:t>
      </w:r>
      <w:r w:rsidRPr="003F06A3">
        <w:rPr>
          <w:b/>
          <w:bCs/>
          <w:lang w:val="en-US" w:eastAsia="zh-CN"/>
        </w:rPr>
        <w:t xml:space="preserve"> to receive SIB</w:t>
      </w:r>
      <w:r>
        <w:rPr>
          <w:b/>
          <w:bCs/>
          <w:lang w:val="en-US" w:eastAsia="zh-CN"/>
        </w:rPr>
        <w:t>1 (containing NCGI)</w:t>
      </w:r>
      <w:r w:rsidRPr="003F06A3">
        <w:rPr>
          <w:b/>
          <w:bCs/>
          <w:lang w:val="en-US" w:eastAsia="zh-CN"/>
        </w:rPr>
        <w:t xml:space="preserve"> from </w:t>
      </w:r>
      <w:r>
        <w:rPr>
          <w:b/>
          <w:bCs/>
          <w:lang w:val="en-US" w:eastAsia="zh-CN"/>
        </w:rPr>
        <w:t xml:space="preserve">its connected </w:t>
      </w:r>
      <w:r w:rsidRPr="003F06A3">
        <w:rPr>
          <w:b/>
          <w:bCs/>
          <w:lang w:val="en-US" w:eastAsia="zh-CN"/>
        </w:rPr>
        <w:t>cell</w:t>
      </w:r>
      <w:r>
        <w:rPr>
          <w:b/>
          <w:bCs/>
          <w:lang w:val="en-US" w:eastAsia="zh-CN"/>
        </w:rPr>
        <w:t xml:space="preserve">, and does not need to receive SIB1 from other cells. Thus, in this case, a connected UE will not observe the change of NCGI with respect to its connected cell.  </w:t>
      </w:r>
      <w:r w:rsidRPr="003F06A3">
        <w:rPr>
          <w:b/>
          <w:bCs/>
          <w:lang w:val="en-US" w:eastAsia="zh-CN"/>
        </w:rPr>
        <w:t xml:space="preserve"> </w:t>
      </w:r>
    </w:p>
    <w:p w14:paraId="40EA1BB4" w14:textId="77777777" w:rsidR="00D90B3F" w:rsidRPr="003F06A3" w:rsidRDefault="00D90B3F" w:rsidP="003806DE">
      <w:pPr>
        <w:numPr>
          <w:ilvl w:val="0"/>
          <w:numId w:val="15"/>
        </w:numPr>
        <w:spacing w:after="0"/>
        <w:rPr>
          <w:b/>
          <w:bCs/>
          <w:lang w:val="en-US" w:eastAsia="zh-CN"/>
        </w:rPr>
      </w:pPr>
      <w:r w:rsidRPr="003F06A3">
        <w:rPr>
          <w:b/>
          <w:bCs/>
          <w:lang w:val="en-US" w:eastAsia="zh-CN"/>
        </w:rPr>
        <w:t>Q2: is it possible to use same PCI for cell1 and cell2, and support the HO from cell1 to cell2 without new impact to the UE (e.g. a legacy UE)?</w:t>
      </w:r>
    </w:p>
    <w:p w14:paraId="7035AB4B" w14:textId="77777777" w:rsidR="00D90B3F" w:rsidRPr="003F06A3" w:rsidRDefault="00D90B3F" w:rsidP="003806DE">
      <w:pPr>
        <w:numPr>
          <w:ilvl w:val="1"/>
          <w:numId w:val="15"/>
        </w:numPr>
        <w:spacing w:after="0"/>
        <w:rPr>
          <w:b/>
          <w:bCs/>
          <w:lang w:val="en-US" w:eastAsia="zh-CN"/>
        </w:rPr>
      </w:pPr>
      <w:r w:rsidRPr="003F06A3">
        <w:rPr>
          <w:b/>
          <w:bCs/>
          <w:lang w:val="en-US" w:eastAsia="zh-CN"/>
        </w:rPr>
        <w:t xml:space="preserve">A: </w:t>
      </w:r>
      <w:r>
        <w:rPr>
          <w:b/>
          <w:bCs/>
          <w:lang w:val="en-US" w:eastAsia="zh-CN"/>
        </w:rPr>
        <w:t>D</w:t>
      </w:r>
      <w:r w:rsidRPr="003F06A3">
        <w:rPr>
          <w:b/>
          <w:bCs/>
          <w:lang w:val="en-US" w:eastAsia="zh-CN"/>
        </w:rPr>
        <w:t>epend on UE’s implementation, e.g. for handling PCI collision</w:t>
      </w:r>
      <w:r>
        <w:rPr>
          <w:b/>
          <w:bCs/>
          <w:lang w:val="en-US" w:eastAsia="zh-CN"/>
        </w:rPr>
        <w:t xml:space="preserve">, there may or may not be any new impact to the UE. </w:t>
      </w:r>
      <w:r w:rsidRPr="003F06A3">
        <w:rPr>
          <w:b/>
          <w:bCs/>
          <w:lang w:val="en-US" w:eastAsia="zh-CN"/>
        </w:rPr>
        <w:t xml:space="preserve"> </w:t>
      </w:r>
    </w:p>
    <w:p w14:paraId="55F95375" w14:textId="77777777" w:rsidR="00D90B3F" w:rsidRDefault="00D90B3F" w:rsidP="003806DE">
      <w:pPr>
        <w:numPr>
          <w:ilvl w:val="0"/>
          <w:numId w:val="15"/>
        </w:numPr>
        <w:spacing w:after="0"/>
        <w:rPr>
          <w:b/>
          <w:bCs/>
          <w:lang w:val="en-US" w:eastAsia="zh-CN"/>
        </w:rPr>
      </w:pPr>
      <w:r w:rsidRPr="003F06A3">
        <w:rPr>
          <w:b/>
          <w:bCs/>
          <w:lang w:val="en-US" w:eastAsia="zh-CN"/>
        </w:rPr>
        <w:t>Q3: when cell1 and cell2 use different PCI/NCGI, is it possible to use one set of shared resource, without new impact to the UE?</w:t>
      </w:r>
    </w:p>
    <w:p w14:paraId="5903890B" w14:textId="77777777" w:rsidR="00D90B3F" w:rsidRPr="006B04A5" w:rsidRDefault="00D90B3F" w:rsidP="003806DE">
      <w:pPr>
        <w:numPr>
          <w:ilvl w:val="1"/>
          <w:numId w:val="15"/>
        </w:numPr>
        <w:spacing w:after="0"/>
        <w:rPr>
          <w:b/>
          <w:bCs/>
          <w:lang w:val="en-US" w:eastAsia="zh-CN"/>
        </w:rPr>
      </w:pPr>
      <w:r w:rsidRPr="006B04A5">
        <w:rPr>
          <w:b/>
          <w:bCs/>
          <w:lang w:val="en-US" w:eastAsia="zh-CN"/>
        </w:rPr>
        <w:t>A: If different cells can be allocated with orthogonal resources on time/frequency for signals/channels, we don’t see new impact to UE.</w:t>
      </w:r>
    </w:p>
    <w:p w14:paraId="77AD4728" w14:textId="77777777" w:rsidR="00D90B3F" w:rsidRDefault="00D90B3F" w:rsidP="00D90B3F">
      <w:pPr>
        <w:pStyle w:val="Heading2"/>
      </w:pPr>
      <w:r>
        <w:t>References</w:t>
      </w:r>
    </w:p>
    <w:p w14:paraId="4D8FB368" w14:textId="74DDED19" w:rsidR="00D90B3F" w:rsidRDefault="00D90B3F" w:rsidP="00D90B3F">
      <w:pPr>
        <w:rPr>
          <w:sz w:val="18"/>
        </w:rPr>
      </w:pPr>
      <w:r w:rsidRPr="00860A73">
        <w:rPr>
          <w:sz w:val="18"/>
        </w:rPr>
        <w:t>[1]</w:t>
      </w:r>
      <w:r w:rsidRPr="00860A73">
        <w:rPr>
          <w:sz w:val="18"/>
        </w:rPr>
        <w:tab/>
      </w:r>
      <w:r>
        <w:rPr>
          <w:sz w:val="18"/>
        </w:rPr>
        <w:tab/>
      </w:r>
      <w:r w:rsidRPr="00691062">
        <w:rPr>
          <w:sz w:val="18"/>
        </w:rPr>
        <w:t>RP-2</w:t>
      </w:r>
      <w:r w:rsidR="00851F8D">
        <w:rPr>
          <w:sz w:val="18"/>
        </w:rPr>
        <w:t>11548</w:t>
      </w:r>
      <w:r w:rsidRPr="00691062">
        <w:rPr>
          <w:sz w:val="18"/>
        </w:rPr>
        <w:t xml:space="preserve">: Revised WID for </w:t>
      </w:r>
      <w:proofErr w:type="spellStart"/>
      <w:r w:rsidRPr="00691062">
        <w:rPr>
          <w:sz w:val="18"/>
        </w:rPr>
        <w:t>NR_IAB_enh</w:t>
      </w:r>
      <w:proofErr w:type="spellEnd"/>
      <w:r w:rsidRPr="00691062">
        <w:rPr>
          <w:sz w:val="18"/>
        </w:rPr>
        <w:t>; TSG RAN Meeting #</w:t>
      </w:r>
      <w:r w:rsidR="00851F8D">
        <w:rPr>
          <w:sz w:val="18"/>
        </w:rPr>
        <w:t>92</w:t>
      </w:r>
      <w:r w:rsidRPr="00691062">
        <w:rPr>
          <w:sz w:val="18"/>
        </w:rPr>
        <w:t xml:space="preserve">, Electronic Meeting, June </w:t>
      </w:r>
      <w:r w:rsidR="00851F8D">
        <w:rPr>
          <w:sz w:val="18"/>
        </w:rPr>
        <w:t>14</w:t>
      </w:r>
      <w:r w:rsidRPr="00691062">
        <w:rPr>
          <w:sz w:val="18"/>
        </w:rPr>
        <w:t xml:space="preserve"> - July </w:t>
      </w:r>
      <w:r w:rsidR="00851F8D">
        <w:rPr>
          <w:sz w:val="18"/>
        </w:rPr>
        <w:t>18</w:t>
      </w:r>
      <w:r w:rsidRPr="00691062">
        <w:rPr>
          <w:sz w:val="18"/>
        </w:rPr>
        <w:t>, 202</w:t>
      </w:r>
      <w:r w:rsidR="00851F8D">
        <w:rPr>
          <w:sz w:val="18"/>
        </w:rPr>
        <w:t>1</w:t>
      </w:r>
    </w:p>
    <w:p w14:paraId="1CE26996" w14:textId="77777777" w:rsidR="00D90B3F" w:rsidRDefault="00D90B3F" w:rsidP="00D90B3F">
      <w:pPr>
        <w:rPr>
          <w:sz w:val="18"/>
        </w:rPr>
      </w:pPr>
      <w:r>
        <w:rPr>
          <w:sz w:val="18"/>
        </w:rPr>
        <w:t xml:space="preserve">[2] </w:t>
      </w:r>
      <w:r>
        <w:rPr>
          <w:sz w:val="18"/>
        </w:rPr>
        <w:tab/>
      </w:r>
      <w:r>
        <w:rPr>
          <w:sz w:val="18"/>
        </w:rPr>
        <w:tab/>
        <w:t>Chairman’s notes RAN1-105e for IAB</w:t>
      </w:r>
    </w:p>
    <w:p w14:paraId="34F959F0" w14:textId="77777777" w:rsidR="00D90B3F" w:rsidRDefault="00D90B3F" w:rsidP="00D90B3F">
      <w:pPr>
        <w:rPr>
          <w:sz w:val="18"/>
        </w:rPr>
      </w:pPr>
      <w:r>
        <w:rPr>
          <w:sz w:val="18"/>
        </w:rPr>
        <w:t>[4]     TS38.213 3GPP NR Physical layer procedure for control (Rel-16)</w:t>
      </w:r>
    </w:p>
    <w:p w14:paraId="5CFC19BD" w14:textId="77777777" w:rsidR="00D90B3F" w:rsidRDefault="00D90B3F" w:rsidP="00D90B3F">
      <w:pPr>
        <w:rPr>
          <w:sz w:val="18"/>
        </w:rPr>
      </w:pPr>
      <w:r>
        <w:rPr>
          <w:sz w:val="18"/>
        </w:rPr>
        <w:t xml:space="preserve">[5] </w:t>
      </w:r>
      <w:r>
        <w:rPr>
          <w:sz w:val="18"/>
        </w:rPr>
        <w:tab/>
      </w:r>
      <w:r>
        <w:rPr>
          <w:sz w:val="18"/>
        </w:rPr>
        <w:tab/>
        <w:t xml:space="preserve">R3-212974 “LS on IAB Resource multiplexing”, </w:t>
      </w:r>
      <w:r w:rsidRPr="00B93504">
        <w:rPr>
          <w:sz w:val="18"/>
        </w:rPr>
        <w:t>3GPP TSG-RAN WG3#112-e</w:t>
      </w:r>
      <w:r>
        <w:rPr>
          <w:sz w:val="18"/>
        </w:rPr>
        <w:t>, May 17- May 27, 2021</w:t>
      </w:r>
    </w:p>
    <w:p w14:paraId="4E74416C" w14:textId="77777777" w:rsidR="00D90B3F" w:rsidRDefault="00D90B3F" w:rsidP="00D90B3F">
      <w:pPr>
        <w:rPr>
          <w:sz w:val="18"/>
        </w:rPr>
      </w:pPr>
      <w:r>
        <w:rPr>
          <w:sz w:val="18"/>
        </w:rPr>
        <w:t>[6]     R3-212981 “</w:t>
      </w:r>
      <w:r w:rsidRPr="00237C19">
        <w:rPr>
          <w:sz w:val="18"/>
        </w:rPr>
        <w:t>LS on Inter-donor migration</w:t>
      </w:r>
      <w:r>
        <w:rPr>
          <w:sz w:val="18"/>
        </w:rPr>
        <w:t xml:space="preserve">”, </w:t>
      </w:r>
      <w:r w:rsidRPr="00B93504">
        <w:rPr>
          <w:sz w:val="18"/>
        </w:rPr>
        <w:t>3GPP TSG-RAN WG3#112-e</w:t>
      </w:r>
      <w:r>
        <w:rPr>
          <w:sz w:val="18"/>
        </w:rPr>
        <w:t>, May 17- May 27, 2021</w:t>
      </w:r>
    </w:p>
    <w:p w14:paraId="5CFEBD4D" w14:textId="77777777" w:rsidR="00D90B3F" w:rsidRDefault="00D90B3F" w:rsidP="00D90B3F">
      <w:pPr>
        <w:rPr>
          <w:sz w:val="18"/>
        </w:rPr>
      </w:pPr>
    </w:p>
    <w:p w14:paraId="4F47C11C" w14:textId="18D471DD" w:rsidR="0001381F" w:rsidRDefault="0001381F" w:rsidP="00D90B3F">
      <w:pPr>
        <w:pStyle w:val="Heading2"/>
        <w:rPr>
          <w:rStyle w:val="Heading1Char"/>
        </w:rPr>
      </w:pPr>
    </w:p>
    <w:sectPr w:rsidR="0001381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C7D4E" w14:textId="77777777" w:rsidR="009B122F" w:rsidRDefault="009B122F">
      <w:pPr>
        <w:spacing w:after="0"/>
      </w:pPr>
      <w:r>
        <w:separator/>
      </w:r>
    </w:p>
  </w:endnote>
  <w:endnote w:type="continuationSeparator" w:id="0">
    <w:p w14:paraId="2B80A11C" w14:textId="77777777" w:rsidR="009B122F" w:rsidRDefault="009B122F">
      <w:pPr>
        <w:spacing w:after="0"/>
      </w:pPr>
      <w:r>
        <w:continuationSeparator/>
      </w:r>
    </w:p>
  </w:endnote>
  <w:endnote w:type="continuationNotice" w:id="1">
    <w:p w14:paraId="323EB3AA" w14:textId="77777777" w:rsidR="009B122F" w:rsidRDefault="009B1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A75C3" w14:textId="77777777" w:rsidR="004D3D3F" w:rsidRDefault="004D3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902B" w14:textId="77777777" w:rsidR="004D3D3F" w:rsidRDefault="004D3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6767D" w14:textId="77777777" w:rsidR="004D3D3F" w:rsidRDefault="004D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591D4" w14:textId="77777777" w:rsidR="009B122F" w:rsidRDefault="009B122F">
      <w:pPr>
        <w:spacing w:after="0"/>
      </w:pPr>
      <w:r>
        <w:separator/>
      </w:r>
    </w:p>
  </w:footnote>
  <w:footnote w:type="continuationSeparator" w:id="0">
    <w:p w14:paraId="49739AAC" w14:textId="77777777" w:rsidR="009B122F" w:rsidRDefault="009B122F">
      <w:pPr>
        <w:spacing w:after="0"/>
      </w:pPr>
      <w:r>
        <w:continuationSeparator/>
      </w:r>
    </w:p>
  </w:footnote>
  <w:footnote w:type="continuationNotice" w:id="1">
    <w:p w14:paraId="2003988F" w14:textId="77777777" w:rsidR="009B122F" w:rsidRDefault="009B1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BD12B" w14:textId="77777777" w:rsidR="004D3D3F" w:rsidRDefault="004D3D3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D3A05" w14:textId="77777777" w:rsidR="004D3D3F" w:rsidRDefault="004D3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8A2F0" w14:textId="77777777" w:rsidR="004D3D3F" w:rsidRDefault="004D3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45217"/>
    <w:multiLevelType w:val="hybridMultilevel"/>
    <w:tmpl w:val="EA76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D1EBC"/>
    <w:multiLevelType w:val="hybridMultilevel"/>
    <w:tmpl w:val="7ED8C102"/>
    <w:lvl w:ilvl="0" w:tplc="ECC61B2C">
      <w:start w:val="1"/>
      <w:numFmt w:val="bullet"/>
      <w:lvlText w:val="•"/>
      <w:lvlJc w:val="left"/>
      <w:pPr>
        <w:tabs>
          <w:tab w:val="num" w:pos="720"/>
        </w:tabs>
        <w:ind w:left="720" w:hanging="360"/>
      </w:pPr>
      <w:rPr>
        <w:rFonts w:ascii="Arial" w:hAnsi="Arial" w:hint="default"/>
      </w:rPr>
    </w:lvl>
    <w:lvl w:ilvl="1" w:tplc="F112E73C">
      <w:numFmt w:val="bullet"/>
      <w:lvlText w:val="◦"/>
      <w:lvlJc w:val="left"/>
      <w:pPr>
        <w:tabs>
          <w:tab w:val="num" w:pos="1440"/>
        </w:tabs>
        <w:ind w:left="1440" w:hanging="360"/>
      </w:pPr>
      <w:rPr>
        <w:rFonts w:ascii="Microsoft Sans Serif" w:hAnsi="Microsoft Sans Serif" w:hint="default"/>
      </w:rPr>
    </w:lvl>
    <w:lvl w:ilvl="2" w:tplc="AD6A561A" w:tentative="1">
      <w:start w:val="1"/>
      <w:numFmt w:val="bullet"/>
      <w:lvlText w:val="•"/>
      <w:lvlJc w:val="left"/>
      <w:pPr>
        <w:tabs>
          <w:tab w:val="num" w:pos="2160"/>
        </w:tabs>
        <w:ind w:left="2160" w:hanging="360"/>
      </w:pPr>
      <w:rPr>
        <w:rFonts w:ascii="Arial" w:hAnsi="Arial" w:hint="default"/>
      </w:rPr>
    </w:lvl>
    <w:lvl w:ilvl="3" w:tplc="92C406B6" w:tentative="1">
      <w:start w:val="1"/>
      <w:numFmt w:val="bullet"/>
      <w:lvlText w:val="•"/>
      <w:lvlJc w:val="left"/>
      <w:pPr>
        <w:tabs>
          <w:tab w:val="num" w:pos="2880"/>
        </w:tabs>
        <w:ind w:left="2880" w:hanging="360"/>
      </w:pPr>
      <w:rPr>
        <w:rFonts w:ascii="Arial" w:hAnsi="Arial" w:hint="default"/>
      </w:rPr>
    </w:lvl>
    <w:lvl w:ilvl="4" w:tplc="BB3ECC20" w:tentative="1">
      <w:start w:val="1"/>
      <w:numFmt w:val="bullet"/>
      <w:lvlText w:val="•"/>
      <w:lvlJc w:val="left"/>
      <w:pPr>
        <w:tabs>
          <w:tab w:val="num" w:pos="3600"/>
        </w:tabs>
        <w:ind w:left="3600" w:hanging="360"/>
      </w:pPr>
      <w:rPr>
        <w:rFonts w:ascii="Arial" w:hAnsi="Arial" w:hint="default"/>
      </w:rPr>
    </w:lvl>
    <w:lvl w:ilvl="5" w:tplc="8DF8FD2C" w:tentative="1">
      <w:start w:val="1"/>
      <w:numFmt w:val="bullet"/>
      <w:lvlText w:val="•"/>
      <w:lvlJc w:val="left"/>
      <w:pPr>
        <w:tabs>
          <w:tab w:val="num" w:pos="4320"/>
        </w:tabs>
        <w:ind w:left="4320" w:hanging="360"/>
      </w:pPr>
      <w:rPr>
        <w:rFonts w:ascii="Arial" w:hAnsi="Arial" w:hint="default"/>
      </w:rPr>
    </w:lvl>
    <w:lvl w:ilvl="6" w:tplc="32E87246" w:tentative="1">
      <w:start w:val="1"/>
      <w:numFmt w:val="bullet"/>
      <w:lvlText w:val="•"/>
      <w:lvlJc w:val="left"/>
      <w:pPr>
        <w:tabs>
          <w:tab w:val="num" w:pos="5040"/>
        </w:tabs>
        <w:ind w:left="5040" w:hanging="360"/>
      </w:pPr>
      <w:rPr>
        <w:rFonts w:ascii="Arial" w:hAnsi="Arial" w:hint="default"/>
      </w:rPr>
    </w:lvl>
    <w:lvl w:ilvl="7" w:tplc="65529680" w:tentative="1">
      <w:start w:val="1"/>
      <w:numFmt w:val="bullet"/>
      <w:lvlText w:val="•"/>
      <w:lvlJc w:val="left"/>
      <w:pPr>
        <w:tabs>
          <w:tab w:val="num" w:pos="5760"/>
        </w:tabs>
        <w:ind w:left="5760" w:hanging="360"/>
      </w:pPr>
      <w:rPr>
        <w:rFonts w:ascii="Arial" w:hAnsi="Arial" w:hint="default"/>
      </w:rPr>
    </w:lvl>
    <w:lvl w:ilvl="8" w:tplc="44E2E3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BE0BD2"/>
    <w:multiLevelType w:val="hybridMultilevel"/>
    <w:tmpl w:val="C1044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3CF9"/>
    <w:multiLevelType w:val="hybridMultilevel"/>
    <w:tmpl w:val="604C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060EC"/>
    <w:multiLevelType w:val="hybridMultilevel"/>
    <w:tmpl w:val="6A22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F2805"/>
    <w:multiLevelType w:val="hybridMultilevel"/>
    <w:tmpl w:val="25E8C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6009F"/>
    <w:multiLevelType w:val="hybridMultilevel"/>
    <w:tmpl w:val="18E2DA46"/>
    <w:lvl w:ilvl="0" w:tplc="4EC4435E">
      <w:start w:val="1"/>
      <w:numFmt w:val="bullet"/>
      <w:lvlText w:val="•"/>
      <w:lvlJc w:val="left"/>
      <w:pPr>
        <w:tabs>
          <w:tab w:val="num" w:pos="720"/>
        </w:tabs>
        <w:ind w:left="720" w:hanging="360"/>
      </w:pPr>
      <w:rPr>
        <w:rFonts w:ascii="Arial" w:hAnsi="Arial" w:hint="default"/>
      </w:rPr>
    </w:lvl>
    <w:lvl w:ilvl="1" w:tplc="B9545D70" w:tentative="1">
      <w:start w:val="1"/>
      <w:numFmt w:val="bullet"/>
      <w:lvlText w:val="•"/>
      <w:lvlJc w:val="left"/>
      <w:pPr>
        <w:tabs>
          <w:tab w:val="num" w:pos="1440"/>
        </w:tabs>
        <w:ind w:left="1440" w:hanging="360"/>
      </w:pPr>
      <w:rPr>
        <w:rFonts w:ascii="Arial" w:hAnsi="Arial" w:hint="default"/>
      </w:rPr>
    </w:lvl>
    <w:lvl w:ilvl="2" w:tplc="153CFB12" w:tentative="1">
      <w:start w:val="1"/>
      <w:numFmt w:val="bullet"/>
      <w:lvlText w:val="•"/>
      <w:lvlJc w:val="left"/>
      <w:pPr>
        <w:tabs>
          <w:tab w:val="num" w:pos="2160"/>
        </w:tabs>
        <w:ind w:left="2160" w:hanging="360"/>
      </w:pPr>
      <w:rPr>
        <w:rFonts w:ascii="Arial" w:hAnsi="Arial" w:hint="default"/>
      </w:rPr>
    </w:lvl>
    <w:lvl w:ilvl="3" w:tplc="A49A3C4E" w:tentative="1">
      <w:start w:val="1"/>
      <w:numFmt w:val="bullet"/>
      <w:lvlText w:val="•"/>
      <w:lvlJc w:val="left"/>
      <w:pPr>
        <w:tabs>
          <w:tab w:val="num" w:pos="2880"/>
        </w:tabs>
        <w:ind w:left="2880" w:hanging="360"/>
      </w:pPr>
      <w:rPr>
        <w:rFonts w:ascii="Arial" w:hAnsi="Arial" w:hint="default"/>
      </w:rPr>
    </w:lvl>
    <w:lvl w:ilvl="4" w:tplc="FDF65EB0" w:tentative="1">
      <w:start w:val="1"/>
      <w:numFmt w:val="bullet"/>
      <w:lvlText w:val="•"/>
      <w:lvlJc w:val="left"/>
      <w:pPr>
        <w:tabs>
          <w:tab w:val="num" w:pos="3600"/>
        </w:tabs>
        <w:ind w:left="3600" w:hanging="360"/>
      </w:pPr>
      <w:rPr>
        <w:rFonts w:ascii="Arial" w:hAnsi="Arial" w:hint="default"/>
      </w:rPr>
    </w:lvl>
    <w:lvl w:ilvl="5" w:tplc="22322944" w:tentative="1">
      <w:start w:val="1"/>
      <w:numFmt w:val="bullet"/>
      <w:lvlText w:val="•"/>
      <w:lvlJc w:val="left"/>
      <w:pPr>
        <w:tabs>
          <w:tab w:val="num" w:pos="4320"/>
        </w:tabs>
        <w:ind w:left="4320" w:hanging="360"/>
      </w:pPr>
      <w:rPr>
        <w:rFonts w:ascii="Arial" w:hAnsi="Arial" w:hint="default"/>
      </w:rPr>
    </w:lvl>
    <w:lvl w:ilvl="6" w:tplc="7CF4135E" w:tentative="1">
      <w:start w:val="1"/>
      <w:numFmt w:val="bullet"/>
      <w:lvlText w:val="•"/>
      <w:lvlJc w:val="left"/>
      <w:pPr>
        <w:tabs>
          <w:tab w:val="num" w:pos="5040"/>
        </w:tabs>
        <w:ind w:left="5040" w:hanging="360"/>
      </w:pPr>
      <w:rPr>
        <w:rFonts w:ascii="Arial" w:hAnsi="Arial" w:hint="default"/>
      </w:rPr>
    </w:lvl>
    <w:lvl w:ilvl="7" w:tplc="53AA0300" w:tentative="1">
      <w:start w:val="1"/>
      <w:numFmt w:val="bullet"/>
      <w:lvlText w:val="•"/>
      <w:lvlJc w:val="left"/>
      <w:pPr>
        <w:tabs>
          <w:tab w:val="num" w:pos="5760"/>
        </w:tabs>
        <w:ind w:left="5760" w:hanging="360"/>
      </w:pPr>
      <w:rPr>
        <w:rFonts w:ascii="Arial" w:hAnsi="Arial" w:hint="default"/>
      </w:rPr>
    </w:lvl>
    <w:lvl w:ilvl="8" w:tplc="83F861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997AC7"/>
    <w:multiLevelType w:val="hybridMultilevel"/>
    <w:tmpl w:val="05641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3D2B38"/>
    <w:multiLevelType w:val="hybridMultilevel"/>
    <w:tmpl w:val="9F8686E0"/>
    <w:lvl w:ilvl="0" w:tplc="A62EE2C4">
      <w:start w:val="1"/>
      <w:numFmt w:val="bullet"/>
      <w:lvlText w:val="•"/>
      <w:lvlJc w:val="left"/>
      <w:pPr>
        <w:tabs>
          <w:tab w:val="num" w:pos="720"/>
        </w:tabs>
        <w:ind w:left="720" w:hanging="360"/>
      </w:pPr>
      <w:rPr>
        <w:rFonts w:ascii="Arial" w:hAnsi="Arial" w:hint="default"/>
      </w:rPr>
    </w:lvl>
    <w:lvl w:ilvl="1" w:tplc="2D16145C" w:tentative="1">
      <w:start w:val="1"/>
      <w:numFmt w:val="bullet"/>
      <w:lvlText w:val="•"/>
      <w:lvlJc w:val="left"/>
      <w:pPr>
        <w:tabs>
          <w:tab w:val="num" w:pos="1440"/>
        </w:tabs>
        <w:ind w:left="1440" w:hanging="360"/>
      </w:pPr>
      <w:rPr>
        <w:rFonts w:ascii="Arial" w:hAnsi="Arial" w:hint="default"/>
      </w:rPr>
    </w:lvl>
    <w:lvl w:ilvl="2" w:tplc="50F2EB12" w:tentative="1">
      <w:start w:val="1"/>
      <w:numFmt w:val="bullet"/>
      <w:lvlText w:val="•"/>
      <w:lvlJc w:val="left"/>
      <w:pPr>
        <w:tabs>
          <w:tab w:val="num" w:pos="2160"/>
        </w:tabs>
        <w:ind w:left="2160" w:hanging="360"/>
      </w:pPr>
      <w:rPr>
        <w:rFonts w:ascii="Arial" w:hAnsi="Arial" w:hint="default"/>
      </w:rPr>
    </w:lvl>
    <w:lvl w:ilvl="3" w:tplc="AAF2B5EA" w:tentative="1">
      <w:start w:val="1"/>
      <w:numFmt w:val="bullet"/>
      <w:lvlText w:val="•"/>
      <w:lvlJc w:val="left"/>
      <w:pPr>
        <w:tabs>
          <w:tab w:val="num" w:pos="2880"/>
        </w:tabs>
        <w:ind w:left="2880" w:hanging="360"/>
      </w:pPr>
      <w:rPr>
        <w:rFonts w:ascii="Arial" w:hAnsi="Arial" w:hint="default"/>
      </w:rPr>
    </w:lvl>
    <w:lvl w:ilvl="4" w:tplc="8452C952" w:tentative="1">
      <w:start w:val="1"/>
      <w:numFmt w:val="bullet"/>
      <w:lvlText w:val="•"/>
      <w:lvlJc w:val="left"/>
      <w:pPr>
        <w:tabs>
          <w:tab w:val="num" w:pos="3600"/>
        </w:tabs>
        <w:ind w:left="3600" w:hanging="360"/>
      </w:pPr>
      <w:rPr>
        <w:rFonts w:ascii="Arial" w:hAnsi="Arial" w:hint="default"/>
      </w:rPr>
    </w:lvl>
    <w:lvl w:ilvl="5" w:tplc="08923062" w:tentative="1">
      <w:start w:val="1"/>
      <w:numFmt w:val="bullet"/>
      <w:lvlText w:val="•"/>
      <w:lvlJc w:val="left"/>
      <w:pPr>
        <w:tabs>
          <w:tab w:val="num" w:pos="4320"/>
        </w:tabs>
        <w:ind w:left="4320" w:hanging="360"/>
      </w:pPr>
      <w:rPr>
        <w:rFonts w:ascii="Arial" w:hAnsi="Arial" w:hint="default"/>
      </w:rPr>
    </w:lvl>
    <w:lvl w:ilvl="6" w:tplc="67465988" w:tentative="1">
      <w:start w:val="1"/>
      <w:numFmt w:val="bullet"/>
      <w:lvlText w:val="•"/>
      <w:lvlJc w:val="left"/>
      <w:pPr>
        <w:tabs>
          <w:tab w:val="num" w:pos="5040"/>
        </w:tabs>
        <w:ind w:left="5040" w:hanging="360"/>
      </w:pPr>
      <w:rPr>
        <w:rFonts w:ascii="Arial" w:hAnsi="Arial" w:hint="default"/>
      </w:rPr>
    </w:lvl>
    <w:lvl w:ilvl="7" w:tplc="1E261CE2" w:tentative="1">
      <w:start w:val="1"/>
      <w:numFmt w:val="bullet"/>
      <w:lvlText w:val="•"/>
      <w:lvlJc w:val="left"/>
      <w:pPr>
        <w:tabs>
          <w:tab w:val="num" w:pos="5760"/>
        </w:tabs>
        <w:ind w:left="5760" w:hanging="360"/>
      </w:pPr>
      <w:rPr>
        <w:rFonts w:ascii="Arial" w:hAnsi="Arial" w:hint="default"/>
      </w:rPr>
    </w:lvl>
    <w:lvl w:ilvl="8" w:tplc="78BC5A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912B52"/>
    <w:multiLevelType w:val="hybridMultilevel"/>
    <w:tmpl w:val="696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6464E1"/>
    <w:multiLevelType w:val="hybridMultilevel"/>
    <w:tmpl w:val="8D52EA4C"/>
    <w:lvl w:ilvl="0" w:tplc="F086D1E4">
      <w:start w:val="1"/>
      <w:numFmt w:val="bullet"/>
      <w:lvlText w:val="•"/>
      <w:lvlJc w:val="left"/>
      <w:pPr>
        <w:tabs>
          <w:tab w:val="num" w:pos="720"/>
        </w:tabs>
        <w:ind w:left="720" w:hanging="360"/>
      </w:pPr>
      <w:rPr>
        <w:rFonts w:ascii="Arial" w:hAnsi="Arial" w:hint="default"/>
      </w:rPr>
    </w:lvl>
    <w:lvl w:ilvl="1" w:tplc="9A845334">
      <w:numFmt w:val="bullet"/>
      <w:lvlText w:val="◦"/>
      <w:lvlJc w:val="left"/>
      <w:pPr>
        <w:tabs>
          <w:tab w:val="num" w:pos="1440"/>
        </w:tabs>
        <w:ind w:left="1440" w:hanging="360"/>
      </w:pPr>
      <w:rPr>
        <w:rFonts w:ascii="Microsoft Sans Serif" w:hAnsi="Microsoft Sans Serif" w:hint="default"/>
      </w:rPr>
    </w:lvl>
    <w:lvl w:ilvl="2" w:tplc="84124122" w:tentative="1">
      <w:start w:val="1"/>
      <w:numFmt w:val="bullet"/>
      <w:lvlText w:val="•"/>
      <w:lvlJc w:val="left"/>
      <w:pPr>
        <w:tabs>
          <w:tab w:val="num" w:pos="2160"/>
        </w:tabs>
        <w:ind w:left="2160" w:hanging="360"/>
      </w:pPr>
      <w:rPr>
        <w:rFonts w:ascii="Arial" w:hAnsi="Arial" w:hint="default"/>
      </w:rPr>
    </w:lvl>
    <w:lvl w:ilvl="3" w:tplc="0046F042" w:tentative="1">
      <w:start w:val="1"/>
      <w:numFmt w:val="bullet"/>
      <w:lvlText w:val="•"/>
      <w:lvlJc w:val="left"/>
      <w:pPr>
        <w:tabs>
          <w:tab w:val="num" w:pos="2880"/>
        </w:tabs>
        <w:ind w:left="2880" w:hanging="360"/>
      </w:pPr>
      <w:rPr>
        <w:rFonts w:ascii="Arial" w:hAnsi="Arial" w:hint="default"/>
      </w:rPr>
    </w:lvl>
    <w:lvl w:ilvl="4" w:tplc="CDF6F4C0" w:tentative="1">
      <w:start w:val="1"/>
      <w:numFmt w:val="bullet"/>
      <w:lvlText w:val="•"/>
      <w:lvlJc w:val="left"/>
      <w:pPr>
        <w:tabs>
          <w:tab w:val="num" w:pos="3600"/>
        </w:tabs>
        <w:ind w:left="3600" w:hanging="360"/>
      </w:pPr>
      <w:rPr>
        <w:rFonts w:ascii="Arial" w:hAnsi="Arial" w:hint="default"/>
      </w:rPr>
    </w:lvl>
    <w:lvl w:ilvl="5" w:tplc="29AC0258" w:tentative="1">
      <w:start w:val="1"/>
      <w:numFmt w:val="bullet"/>
      <w:lvlText w:val="•"/>
      <w:lvlJc w:val="left"/>
      <w:pPr>
        <w:tabs>
          <w:tab w:val="num" w:pos="4320"/>
        </w:tabs>
        <w:ind w:left="4320" w:hanging="360"/>
      </w:pPr>
      <w:rPr>
        <w:rFonts w:ascii="Arial" w:hAnsi="Arial" w:hint="default"/>
      </w:rPr>
    </w:lvl>
    <w:lvl w:ilvl="6" w:tplc="57283176" w:tentative="1">
      <w:start w:val="1"/>
      <w:numFmt w:val="bullet"/>
      <w:lvlText w:val="•"/>
      <w:lvlJc w:val="left"/>
      <w:pPr>
        <w:tabs>
          <w:tab w:val="num" w:pos="5040"/>
        </w:tabs>
        <w:ind w:left="5040" w:hanging="360"/>
      </w:pPr>
      <w:rPr>
        <w:rFonts w:ascii="Arial" w:hAnsi="Arial" w:hint="default"/>
      </w:rPr>
    </w:lvl>
    <w:lvl w:ilvl="7" w:tplc="0212D7C2" w:tentative="1">
      <w:start w:val="1"/>
      <w:numFmt w:val="bullet"/>
      <w:lvlText w:val="•"/>
      <w:lvlJc w:val="left"/>
      <w:pPr>
        <w:tabs>
          <w:tab w:val="num" w:pos="5760"/>
        </w:tabs>
        <w:ind w:left="5760" w:hanging="360"/>
      </w:pPr>
      <w:rPr>
        <w:rFonts w:ascii="Arial" w:hAnsi="Arial" w:hint="default"/>
      </w:rPr>
    </w:lvl>
    <w:lvl w:ilvl="8" w:tplc="D4C2C6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291ABE"/>
    <w:multiLevelType w:val="hybridMultilevel"/>
    <w:tmpl w:val="44E44998"/>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3"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7965F3"/>
    <w:multiLevelType w:val="hybridMultilevel"/>
    <w:tmpl w:val="CA607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0700ED"/>
    <w:multiLevelType w:val="hybridMultilevel"/>
    <w:tmpl w:val="4E5C9592"/>
    <w:lvl w:ilvl="0" w:tplc="86D2C05C">
      <w:start w:val="1"/>
      <w:numFmt w:val="bullet"/>
      <w:lvlText w:val="•"/>
      <w:lvlJc w:val="left"/>
      <w:pPr>
        <w:tabs>
          <w:tab w:val="num" w:pos="720"/>
        </w:tabs>
        <w:ind w:left="720" w:hanging="360"/>
      </w:pPr>
      <w:rPr>
        <w:rFonts w:ascii="Arial" w:hAnsi="Arial" w:hint="default"/>
      </w:rPr>
    </w:lvl>
    <w:lvl w:ilvl="1" w:tplc="2D0EDCF2">
      <w:numFmt w:val="bullet"/>
      <w:lvlText w:val="◦"/>
      <w:lvlJc w:val="left"/>
      <w:pPr>
        <w:tabs>
          <w:tab w:val="num" w:pos="1440"/>
        </w:tabs>
        <w:ind w:left="1440" w:hanging="360"/>
      </w:pPr>
      <w:rPr>
        <w:rFonts w:ascii="Microsoft Sans Serif" w:hAnsi="Microsoft Sans Serif" w:hint="default"/>
      </w:rPr>
    </w:lvl>
    <w:lvl w:ilvl="2" w:tplc="D6E82F70" w:tentative="1">
      <w:start w:val="1"/>
      <w:numFmt w:val="bullet"/>
      <w:lvlText w:val="•"/>
      <w:lvlJc w:val="left"/>
      <w:pPr>
        <w:tabs>
          <w:tab w:val="num" w:pos="2160"/>
        </w:tabs>
        <w:ind w:left="2160" w:hanging="360"/>
      </w:pPr>
      <w:rPr>
        <w:rFonts w:ascii="Arial" w:hAnsi="Arial" w:hint="default"/>
      </w:rPr>
    </w:lvl>
    <w:lvl w:ilvl="3" w:tplc="3C2E30FC" w:tentative="1">
      <w:start w:val="1"/>
      <w:numFmt w:val="bullet"/>
      <w:lvlText w:val="•"/>
      <w:lvlJc w:val="left"/>
      <w:pPr>
        <w:tabs>
          <w:tab w:val="num" w:pos="2880"/>
        </w:tabs>
        <w:ind w:left="2880" w:hanging="360"/>
      </w:pPr>
      <w:rPr>
        <w:rFonts w:ascii="Arial" w:hAnsi="Arial" w:hint="default"/>
      </w:rPr>
    </w:lvl>
    <w:lvl w:ilvl="4" w:tplc="B20AC060" w:tentative="1">
      <w:start w:val="1"/>
      <w:numFmt w:val="bullet"/>
      <w:lvlText w:val="•"/>
      <w:lvlJc w:val="left"/>
      <w:pPr>
        <w:tabs>
          <w:tab w:val="num" w:pos="3600"/>
        </w:tabs>
        <w:ind w:left="3600" w:hanging="360"/>
      </w:pPr>
      <w:rPr>
        <w:rFonts w:ascii="Arial" w:hAnsi="Arial" w:hint="default"/>
      </w:rPr>
    </w:lvl>
    <w:lvl w:ilvl="5" w:tplc="C1C8B0E0" w:tentative="1">
      <w:start w:val="1"/>
      <w:numFmt w:val="bullet"/>
      <w:lvlText w:val="•"/>
      <w:lvlJc w:val="left"/>
      <w:pPr>
        <w:tabs>
          <w:tab w:val="num" w:pos="4320"/>
        </w:tabs>
        <w:ind w:left="4320" w:hanging="360"/>
      </w:pPr>
      <w:rPr>
        <w:rFonts w:ascii="Arial" w:hAnsi="Arial" w:hint="default"/>
      </w:rPr>
    </w:lvl>
    <w:lvl w:ilvl="6" w:tplc="F9840840" w:tentative="1">
      <w:start w:val="1"/>
      <w:numFmt w:val="bullet"/>
      <w:lvlText w:val="•"/>
      <w:lvlJc w:val="left"/>
      <w:pPr>
        <w:tabs>
          <w:tab w:val="num" w:pos="5040"/>
        </w:tabs>
        <w:ind w:left="5040" w:hanging="360"/>
      </w:pPr>
      <w:rPr>
        <w:rFonts w:ascii="Arial" w:hAnsi="Arial" w:hint="default"/>
      </w:rPr>
    </w:lvl>
    <w:lvl w:ilvl="7" w:tplc="FBC8E97C" w:tentative="1">
      <w:start w:val="1"/>
      <w:numFmt w:val="bullet"/>
      <w:lvlText w:val="•"/>
      <w:lvlJc w:val="left"/>
      <w:pPr>
        <w:tabs>
          <w:tab w:val="num" w:pos="5760"/>
        </w:tabs>
        <w:ind w:left="5760" w:hanging="360"/>
      </w:pPr>
      <w:rPr>
        <w:rFonts w:ascii="Arial" w:hAnsi="Arial" w:hint="default"/>
      </w:rPr>
    </w:lvl>
    <w:lvl w:ilvl="8" w:tplc="EC90D4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022FF2"/>
    <w:multiLevelType w:val="hybridMultilevel"/>
    <w:tmpl w:val="3C6EB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E3AA1"/>
    <w:multiLevelType w:val="hybridMultilevel"/>
    <w:tmpl w:val="B79A0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3"/>
  </w:num>
  <w:num w:numId="5">
    <w:abstractNumId w:val="7"/>
  </w:num>
  <w:num w:numId="6">
    <w:abstractNumId w:val="5"/>
  </w:num>
  <w:num w:numId="7">
    <w:abstractNumId w:val="8"/>
  </w:num>
  <w:num w:numId="8">
    <w:abstractNumId w:val="11"/>
  </w:num>
  <w:num w:numId="9">
    <w:abstractNumId w:val="4"/>
  </w:num>
  <w:num w:numId="10">
    <w:abstractNumId w:val="15"/>
  </w:num>
  <w:num w:numId="11">
    <w:abstractNumId w:val="0"/>
  </w:num>
  <w:num w:numId="12">
    <w:abstractNumId w:val="2"/>
  </w:num>
  <w:num w:numId="13">
    <w:abstractNumId w:val="12"/>
  </w:num>
  <w:num w:numId="14">
    <w:abstractNumId w:val="14"/>
  </w:num>
  <w:num w:numId="15">
    <w:abstractNumId w:val="17"/>
  </w:num>
  <w:num w:numId="16">
    <w:abstractNumId w:val="16"/>
  </w:num>
  <w:num w:numId="17">
    <w:abstractNumId w:val="9"/>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2ABD"/>
    <w:rsid w:val="000046AB"/>
    <w:rsid w:val="00006BC4"/>
    <w:rsid w:val="00007B6D"/>
    <w:rsid w:val="0001381F"/>
    <w:rsid w:val="00013C33"/>
    <w:rsid w:val="00026C88"/>
    <w:rsid w:val="000301BE"/>
    <w:rsid w:val="000307E3"/>
    <w:rsid w:val="000408D1"/>
    <w:rsid w:val="00047275"/>
    <w:rsid w:val="00050DEB"/>
    <w:rsid w:val="00051CDE"/>
    <w:rsid w:val="00053746"/>
    <w:rsid w:val="000557B8"/>
    <w:rsid w:val="000603C4"/>
    <w:rsid w:val="000612CC"/>
    <w:rsid w:val="000621C1"/>
    <w:rsid w:val="000729EC"/>
    <w:rsid w:val="00073D16"/>
    <w:rsid w:val="00074FD0"/>
    <w:rsid w:val="00076F6F"/>
    <w:rsid w:val="00084114"/>
    <w:rsid w:val="00085AA8"/>
    <w:rsid w:val="00087C72"/>
    <w:rsid w:val="000952DC"/>
    <w:rsid w:val="000A4826"/>
    <w:rsid w:val="000A7CCE"/>
    <w:rsid w:val="000B3C88"/>
    <w:rsid w:val="000B5BE2"/>
    <w:rsid w:val="000C1B14"/>
    <w:rsid w:val="000C7B38"/>
    <w:rsid w:val="000D1557"/>
    <w:rsid w:val="000D1CFA"/>
    <w:rsid w:val="000D3889"/>
    <w:rsid w:val="000D3EC1"/>
    <w:rsid w:val="000E0706"/>
    <w:rsid w:val="000E0A6C"/>
    <w:rsid w:val="000F50D7"/>
    <w:rsid w:val="000F65EE"/>
    <w:rsid w:val="001050AE"/>
    <w:rsid w:val="00106C9F"/>
    <w:rsid w:val="0011202B"/>
    <w:rsid w:val="001129AB"/>
    <w:rsid w:val="001140F9"/>
    <w:rsid w:val="00115503"/>
    <w:rsid w:val="00121DE9"/>
    <w:rsid w:val="00122A1C"/>
    <w:rsid w:val="00124633"/>
    <w:rsid w:val="0012597C"/>
    <w:rsid w:val="00131C46"/>
    <w:rsid w:val="00132F8E"/>
    <w:rsid w:val="00132FEA"/>
    <w:rsid w:val="00141159"/>
    <w:rsid w:val="00141606"/>
    <w:rsid w:val="00144CFC"/>
    <w:rsid w:val="001479C1"/>
    <w:rsid w:val="00150B0E"/>
    <w:rsid w:val="00151565"/>
    <w:rsid w:val="00152200"/>
    <w:rsid w:val="00152F18"/>
    <w:rsid w:val="001554C5"/>
    <w:rsid w:val="001632E3"/>
    <w:rsid w:val="00167815"/>
    <w:rsid w:val="00167E54"/>
    <w:rsid w:val="0017485B"/>
    <w:rsid w:val="00180A1B"/>
    <w:rsid w:val="00184F0F"/>
    <w:rsid w:val="00186DD8"/>
    <w:rsid w:val="00192847"/>
    <w:rsid w:val="00192C21"/>
    <w:rsid w:val="00193028"/>
    <w:rsid w:val="00193937"/>
    <w:rsid w:val="001A0374"/>
    <w:rsid w:val="001A4207"/>
    <w:rsid w:val="001A5C73"/>
    <w:rsid w:val="001B243F"/>
    <w:rsid w:val="001B29CC"/>
    <w:rsid w:val="001C2D47"/>
    <w:rsid w:val="001C3AED"/>
    <w:rsid w:val="001C4CA0"/>
    <w:rsid w:val="001C589D"/>
    <w:rsid w:val="001D5617"/>
    <w:rsid w:val="001D7C95"/>
    <w:rsid w:val="001E3173"/>
    <w:rsid w:val="001E4714"/>
    <w:rsid w:val="001E7ACC"/>
    <w:rsid w:val="001F4A43"/>
    <w:rsid w:val="00201C93"/>
    <w:rsid w:val="002140B5"/>
    <w:rsid w:val="002145BA"/>
    <w:rsid w:val="00214BAD"/>
    <w:rsid w:val="00215133"/>
    <w:rsid w:val="00217274"/>
    <w:rsid w:val="002208A7"/>
    <w:rsid w:val="00221B24"/>
    <w:rsid w:val="00221B43"/>
    <w:rsid w:val="00222CF1"/>
    <w:rsid w:val="00222F1E"/>
    <w:rsid w:val="002246B3"/>
    <w:rsid w:val="00225710"/>
    <w:rsid w:val="002257EE"/>
    <w:rsid w:val="002262D4"/>
    <w:rsid w:val="00226E45"/>
    <w:rsid w:val="00231E61"/>
    <w:rsid w:val="002349E6"/>
    <w:rsid w:val="002351A0"/>
    <w:rsid w:val="00237B7F"/>
    <w:rsid w:val="00240EFB"/>
    <w:rsid w:val="0024577D"/>
    <w:rsid w:val="0025103E"/>
    <w:rsid w:val="00255134"/>
    <w:rsid w:val="00257ED9"/>
    <w:rsid w:val="00257F92"/>
    <w:rsid w:val="002625B5"/>
    <w:rsid w:val="00264770"/>
    <w:rsid w:val="002661A0"/>
    <w:rsid w:val="002665D7"/>
    <w:rsid w:val="00267878"/>
    <w:rsid w:val="00267B52"/>
    <w:rsid w:val="002706B5"/>
    <w:rsid w:val="00270D09"/>
    <w:rsid w:val="002717A2"/>
    <w:rsid w:val="00274E14"/>
    <w:rsid w:val="00275CA4"/>
    <w:rsid w:val="0027710A"/>
    <w:rsid w:val="00277FC9"/>
    <w:rsid w:val="00280B78"/>
    <w:rsid w:val="00281939"/>
    <w:rsid w:val="00282AC1"/>
    <w:rsid w:val="002832C2"/>
    <w:rsid w:val="0028666A"/>
    <w:rsid w:val="00290057"/>
    <w:rsid w:val="00292489"/>
    <w:rsid w:val="0029339C"/>
    <w:rsid w:val="002A03A3"/>
    <w:rsid w:val="002A4F5D"/>
    <w:rsid w:val="002A5CA7"/>
    <w:rsid w:val="002A6844"/>
    <w:rsid w:val="002A689D"/>
    <w:rsid w:val="002A6F13"/>
    <w:rsid w:val="002A7F5C"/>
    <w:rsid w:val="002B14F2"/>
    <w:rsid w:val="002B1728"/>
    <w:rsid w:val="002B4616"/>
    <w:rsid w:val="002B4694"/>
    <w:rsid w:val="002B4EC6"/>
    <w:rsid w:val="002B61EE"/>
    <w:rsid w:val="002B6BDD"/>
    <w:rsid w:val="002C53D8"/>
    <w:rsid w:val="002C70B3"/>
    <w:rsid w:val="002D1594"/>
    <w:rsid w:val="002D444E"/>
    <w:rsid w:val="002D44EA"/>
    <w:rsid w:val="002E59C4"/>
    <w:rsid w:val="002E7E1E"/>
    <w:rsid w:val="002F0A18"/>
    <w:rsid w:val="002F1808"/>
    <w:rsid w:val="002F2515"/>
    <w:rsid w:val="002F2F8E"/>
    <w:rsid w:val="002F3C0F"/>
    <w:rsid w:val="00304E3A"/>
    <w:rsid w:val="00310FD8"/>
    <w:rsid w:val="00311061"/>
    <w:rsid w:val="003126A2"/>
    <w:rsid w:val="00314A05"/>
    <w:rsid w:val="00316BFD"/>
    <w:rsid w:val="00320A5A"/>
    <w:rsid w:val="003252D4"/>
    <w:rsid w:val="003424FC"/>
    <w:rsid w:val="00351C6C"/>
    <w:rsid w:val="00354ED5"/>
    <w:rsid w:val="003568AC"/>
    <w:rsid w:val="00362814"/>
    <w:rsid w:val="00371004"/>
    <w:rsid w:val="003806DE"/>
    <w:rsid w:val="00385C12"/>
    <w:rsid w:val="00386B57"/>
    <w:rsid w:val="00386E7E"/>
    <w:rsid w:val="003877B1"/>
    <w:rsid w:val="00387E5D"/>
    <w:rsid w:val="00393849"/>
    <w:rsid w:val="00393882"/>
    <w:rsid w:val="00394956"/>
    <w:rsid w:val="003A33BD"/>
    <w:rsid w:val="003A6CBF"/>
    <w:rsid w:val="003A7171"/>
    <w:rsid w:val="003B0187"/>
    <w:rsid w:val="003B0F09"/>
    <w:rsid w:val="003B1B6B"/>
    <w:rsid w:val="003B3BB5"/>
    <w:rsid w:val="003B6C1F"/>
    <w:rsid w:val="003C129D"/>
    <w:rsid w:val="003C4FC5"/>
    <w:rsid w:val="003D0FED"/>
    <w:rsid w:val="003D69A3"/>
    <w:rsid w:val="003E2665"/>
    <w:rsid w:val="003E36C9"/>
    <w:rsid w:val="003E57E8"/>
    <w:rsid w:val="003F642D"/>
    <w:rsid w:val="003F7BA1"/>
    <w:rsid w:val="003F7F51"/>
    <w:rsid w:val="00402E59"/>
    <w:rsid w:val="00402FB4"/>
    <w:rsid w:val="00403FDB"/>
    <w:rsid w:val="0041035F"/>
    <w:rsid w:val="004151A0"/>
    <w:rsid w:val="00422CFF"/>
    <w:rsid w:val="004248B1"/>
    <w:rsid w:val="004301FF"/>
    <w:rsid w:val="00431888"/>
    <w:rsid w:val="00431A94"/>
    <w:rsid w:val="00431F86"/>
    <w:rsid w:val="00432329"/>
    <w:rsid w:val="0043366F"/>
    <w:rsid w:val="004377CF"/>
    <w:rsid w:val="0044100D"/>
    <w:rsid w:val="004415E1"/>
    <w:rsid w:val="00441789"/>
    <w:rsid w:val="00441D19"/>
    <w:rsid w:val="004457EB"/>
    <w:rsid w:val="0044654D"/>
    <w:rsid w:val="00446E8A"/>
    <w:rsid w:val="0044799D"/>
    <w:rsid w:val="00450022"/>
    <w:rsid w:val="004511D2"/>
    <w:rsid w:val="00451D9F"/>
    <w:rsid w:val="00453C6A"/>
    <w:rsid w:val="004544F9"/>
    <w:rsid w:val="0046313C"/>
    <w:rsid w:val="00463F02"/>
    <w:rsid w:val="00464DA5"/>
    <w:rsid w:val="00465326"/>
    <w:rsid w:val="004713DD"/>
    <w:rsid w:val="004729F5"/>
    <w:rsid w:val="004750C4"/>
    <w:rsid w:val="00477686"/>
    <w:rsid w:val="00484708"/>
    <w:rsid w:val="0048574D"/>
    <w:rsid w:val="00496D28"/>
    <w:rsid w:val="004A239B"/>
    <w:rsid w:val="004A6853"/>
    <w:rsid w:val="004A70A0"/>
    <w:rsid w:val="004B03B8"/>
    <w:rsid w:val="004B085E"/>
    <w:rsid w:val="004B21D8"/>
    <w:rsid w:val="004B3650"/>
    <w:rsid w:val="004B4705"/>
    <w:rsid w:val="004C09EA"/>
    <w:rsid w:val="004C1E55"/>
    <w:rsid w:val="004D1871"/>
    <w:rsid w:val="004D1EBF"/>
    <w:rsid w:val="004D3681"/>
    <w:rsid w:val="004D3D3F"/>
    <w:rsid w:val="004D5882"/>
    <w:rsid w:val="004D6837"/>
    <w:rsid w:val="004E1937"/>
    <w:rsid w:val="004E5E6A"/>
    <w:rsid w:val="004E79F0"/>
    <w:rsid w:val="004F1D17"/>
    <w:rsid w:val="004F4239"/>
    <w:rsid w:val="004F51D1"/>
    <w:rsid w:val="004F7C74"/>
    <w:rsid w:val="00500536"/>
    <w:rsid w:val="00501AAC"/>
    <w:rsid w:val="0050376D"/>
    <w:rsid w:val="0051069A"/>
    <w:rsid w:val="00511EAC"/>
    <w:rsid w:val="00515823"/>
    <w:rsid w:val="00517581"/>
    <w:rsid w:val="00520038"/>
    <w:rsid w:val="00523CDE"/>
    <w:rsid w:val="00532388"/>
    <w:rsid w:val="005328F7"/>
    <w:rsid w:val="00532A09"/>
    <w:rsid w:val="00534608"/>
    <w:rsid w:val="00535D92"/>
    <w:rsid w:val="00535D98"/>
    <w:rsid w:val="0053671D"/>
    <w:rsid w:val="00542648"/>
    <w:rsid w:val="00542F7D"/>
    <w:rsid w:val="00543D57"/>
    <w:rsid w:val="00544347"/>
    <w:rsid w:val="00546596"/>
    <w:rsid w:val="00546D87"/>
    <w:rsid w:val="00546FB1"/>
    <w:rsid w:val="005506F0"/>
    <w:rsid w:val="00551E57"/>
    <w:rsid w:val="00557397"/>
    <w:rsid w:val="00560304"/>
    <w:rsid w:val="005603E9"/>
    <w:rsid w:val="00560E90"/>
    <w:rsid w:val="00563289"/>
    <w:rsid w:val="00566606"/>
    <w:rsid w:val="005666E5"/>
    <w:rsid w:val="00566B67"/>
    <w:rsid w:val="0057518D"/>
    <w:rsid w:val="00581FD9"/>
    <w:rsid w:val="00587123"/>
    <w:rsid w:val="0059008B"/>
    <w:rsid w:val="005923D0"/>
    <w:rsid w:val="0059519F"/>
    <w:rsid w:val="0059736A"/>
    <w:rsid w:val="005A045A"/>
    <w:rsid w:val="005A2ED9"/>
    <w:rsid w:val="005A2F39"/>
    <w:rsid w:val="005A62B1"/>
    <w:rsid w:val="005A6C5B"/>
    <w:rsid w:val="005B1F0C"/>
    <w:rsid w:val="005B2CF7"/>
    <w:rsid w:val="005B2FBA"/>
    <w:rsid w:val="005B619E"/>
    <w:rsid w:val="005C2E29"/>
    <w:rsid w:val="005C3F73"/>
    <w:rsid w:val="005C56FA"/>
    <w:rsid w:val="005C7A37"/>
    <w:rsid w:val="005C7D1B"/>
    <w:rsid w:val="005D00CA"/>
    <w:rsid w:val="005D5E48"/>
    <w:rsid w:val="005D6344"/>
    <w:rsid w:val="005D6D0F"/>
    <w:rsid w:val="005D789A"/>
    <w:rsid w:val="005E1D75"/>
    <w:rsid w:val="005E3769"/>
    <w:rsid w:val="005E4B80"/>
    <w:rsid w:val="005F0157"/>
    <w:rsid w:val="005F191C"/>
    <w:rsid w:val="005F23A8"/>
    <w:rsid w:val="005F5FA1"/>
    <w:rsid w:val="005F7080"/>
    <w:rsid w:val="00602B15"/>
    <w:rsid w:val="00605B49"/>
    <w:rsid w:val="00606B3E"/>
    <w:rsid w:val="00607904"/>
    <w:rsid w:val="00607ECC"/>
    <w:rsid w:val="00610B48"/>
    <w:rsid w:val="00611A2A"/>
    <w:rsid w:val="0061252A"/>
    <w:rsid w:val="00614821"/>
    <w:rsid w:val="006205A9"/>
    <w:rsid w:val="00626721"/>
    <w:rsid w:val="00630470"/>
    <w:rsid w:val="006429D4"/>
    <w:rsid w:val="00642E69"/>
    <w:rsid w:val="006435F1"/>
    <w:rsid w:val="00645A16"/>
    <w:rsid w:val="006502A4"/>
    <w:rsid w:val="006505D2"/>
    <w:rsid w:val="00651A1A"/>
    <w:rsid w:val="00652213"/>
    <w:rsid w:val="006527DE"/>
    <w:rsid w:val="00653958"/>
    <w:rsid w:val="0066284A"/>
    <w:rsid w:val="006632C8"/>
    <w:rsid w:val="0066423B"/>
    <w:rsid w:val="00664781"/>
    <w:rsid w:val="006649D2"/>
    <w:rsid w:val="00666413"/>
    <w:rsid w:val="00666BD1"/>
    <w:rsid w:val="00667D51"/>
    <w:rsid w:val="006743FA"/>
    <w:rsid w:val="006768D1"/>
    <w:rsid w:val="00680C36"/>
    <w:rsid w:val="00681845"/>
    <w:rsid w:val="00682277"/>
    <w:rsid w:val="00682FB5"/>
    <w:rsid w:val="00683917"/>
    <w:rsid w:val="006845D6"/>
    <w:rsid w:val="00691062"/>
    <w:rsid w:val="00691CC8"/>
    <w:rsid w:val="00694482"/>
    <w:rsid w:val="00694B7D"/>
    <w:rsid w:val="00695CE6"/>
    <w:rsid w:val="006966CE"/>
    <w:rsid w:val="006A02C1"/>
    <w:rsid w:val="006A6664"/>
    <w:rsid w:val="006A7B67"/>
    <w:rsid w:val="006B22CD"/>
    <w:rsid w:val="006B2B62"/>
    <w:rsid w:val="006B2E83"/>
    <w:rsid w:val="006B6628"/>
    <w:rsid w:val="006C00E5"/>
    <w:rsid w:val="006C032D"/>
    <w:rsid w:val="006C47C0"/>
    <w:rsid w:val="006C493A"/>
    <w:rsid w:val="006C5B54"/>
    <w:rsid w:val="006D1B64"/>
    <w:rsid w:val="006D2521"/>
    <w:rsid w:val="006D34A0"/>
    <w:rsid w:val="006E19B9"/>
    <w:rsid w:val="006E1BB1"/>
    <w:rsid w:val="006E3B16"/>
    <w:rsid w:val="006E4C02"/>
    <w:rsid w:val="006E52F1"/>
    <w:rsid w:val="006E710D"/>
    <w:rsid w:val="006E7C97"/>
    <w:rsid w:val="006F2B0E"/>
    <w:rsid w:val="006F42D6"/>
    <w:rsid w:val="006F55F7"/>
    <w:rsid w:val="00700680"/>
    <w:rsid w:val="00701F1D"/>
    <w:rsid w:val="00706194"/>
    <w:rsid w:val="00710B18"/>
    <w:rsid w:val="00711724"/>
    <w:rsid w:val="00712C96"/>
    <w:rsid w:val="007144BE"/>
    <w:rsid w:val="00716DF0"/>
    <w:rsid w:val="007223E6"/>
    <w:rsid w:val="00726CBA"/>
    <w:rsid w:val="00726DFD"/>
    <w:rsid w:val="0072747A"/>
    <w:rsid w:val="00730BA1"/>
    <w:rsid w:val="00731F08"/>
    <w:rsid w:val="00735296"/>
    <w:rsid w:val="00744106"/>
    <w:rsid w:val="00744151"/>
    <w:rsid w:val="007458D9"/>
    <w:rsid w:val="007474B6"/>
    <w:rsid w:val="007504D3"/>
    <w:rsid w:val="00752CF6"/>
    <w:rsid w:val="0075390D"/>
    <w:rsid w:val="00754793"/>
    <w:rsid w:val="00756C5D"/>
    <w:rsid w:val="00763B80"/>
    <w:rsid w:val="00763D8A"/>
    <w:rsid w:val="00763F22"/>
    <w:rsid w:val="00763F89"/>
    <w:rsid w:val="0076406C"/>
    <w:rsid w:val="0076589E"/>
    <w:rsid w:val="00767D3E"/>
    <w:rsid w:val="00771D26"/>
    <w:rsid w:val="00771DCF"/>
    <w:rsid w:val="00773BE3"/>
    <w:rsid w:val="0077514D"/>
    <w:rsid w:val="00776552"/>
    <w:rsid w:val="00784C12"/>
    <w:rsid w:val="007863CC"/>
    <w:rsid w:val="007874EB"/>
    <w:rsid w:val="00793FA3"/>
    <w:rsid w:val="00795F98"/>
    <w:rsid w:val="007A05AA"/>
    <w:rsid w:val="007A1AF7"/>
    <w:rsid w:val="007A289F"/>
    <w:rsid w:val="007A2FD2"/>
    <w:rsid w:val="007A77FD"/>
    <w:rsid w:val="007B12BC"/>
    <w:rsid w:val="007C2E5C"/>
    <w:rsid w:val="007C3262"/>
    <w:rsid w:val="007D4247"/>
    <w:rsid w:val="007D57E3"/>
    <w:rsid w:val="007D5EA6"/>
    <w:rsid w:val="007E010C"/>
    <w:rsid w:val="007E4205"/>
    <w:rsid w:val="007E69CC"/>
    <w:rsid w:val="007F574F"/>
    <w:rsid w:val="008015DB"/>
    <w:rsid w:val="0080235B"/>
    <w:rsid w:val="008051F8"/>
    <w:rsid w:val="00806EAC"/>
    <w:rsid w:val="008109D1"/>
    <w:rsid w:val="00812EC4"/>
    <w:rsid w:val="00816690"/>
    <w:rsid w:val="00820436"/>
    <w:rsid w:val="00821BB4"/>
    <w:rsid w:val="00822C55"/>
    <w:rsid w:val="008254F8"/>
    <w:rsid w:val="00827D4E"/>
    <w:rsid w:val="00831BEA"/>
    <w:rsid w:val="00841237"/>
    <w:rsid w:val="008448D7"/>
    <w:rsid w:val="0085141A"/>
    <w:rsid w:val="00851F8D"/>
    <w:rsid w:val="00857943"/>
    <w:rsid w:val="00860A73"/>
    <w:rsid w:val="008613E3"/>
    <w:rsid w:val="00862525"/>
    <w:rsid w:val="0086376F"/>
    <w:rsid w:val="0086530D"/>
    <w:rsid w:val="00865F74"/>
    <w:rsid w:val="0086643D"/>
    <w:rsid w:val="00867537"/>
    <w:rsid w:val="00875592"/>
    <w:rsid w:val="00880A95"/>
    <w:rsid w:val="00880F5D"/>
    <w:rsid w:val="00882466"/>
    <w:rsid w:val="0088276F"/>
    <w:rsid w:val="008827A1"/>
    <w:rsid w:val="00883814"/>
    <w:rsid w:val="0088470A"/>
    <w:rsid w:val="00885041"/>
    <w:rsid w:val="008851A3"/>
    <w:rsid w:val="00891261"/>
    <w:rsid w:val="00896AC9"/>
    <w:rsid w:val="00897207"/>
    <w:rsid w:val="008A17F1"/>
    <w:rsid w:val="008A2EF7"/>
    <w:rsid w:val="008A4496"/>
    <w:rsid w:val="008A59E9"/>
    <w:rsid w:val="008A5D42"/>
    <w:rsid w:val="008A652D"/>
    <w:rsid w:val="008A68EC"/>
    <w:rsid w:val="008A7F22"/>
    <w:rsid w:val="008B1B06"/>
    <w:rsid w:val="008B54CB"/>
    <w:rsid w:val="008B67D2"/>
    <w:rsid w:val="008C02B5"/>
    <w:rsid w:val="008C1E35"/>
    <w:rsid w:val="008C5331"/>
    <w:rsid w:val="008C70AA"/>
    <w:rsid w:val="008D0559"/>
    <w:rsid w:val="008D629D"/>
    <w:rsid w:val="008E2AC2"/>
    <w:rsid w:val="008E333E"/>
    <w:rsid w:val="008E7990"/>
    <w:rsid w:val="008F26AA"/>
    <w:rsid w:val="008F2768"/>
    <w:rsid w:val="008F27B0"/>
    <w:rsid w:val="008F5EA0"/>
    <w:rsid w:val="008F6F92"/>
    <w:rsid w:val="008F7101"/>
    <w:rsid w:val="008F7E90"/>
    <w:rsid w:val="009018DF"/>
    <w:rsid w:val="009064A7"/>
    <w:rsid w:val="00915B78"/>
    <w:rsid w:val="009244DF"/>
    <w:rsid w:val="00926733"/>
    <w:rsid w:val="00931FE5"/>
    <w:rsid w:val="00937091"/>
    <w:rsid w:val="00937288"/>
    <w:rsid w:val="00942324"/>
    <w:rsid w:val="00942593"/>
    <w:rsid w:val="0094338D"/>
    <w:rsid w:val="00944145"/>
    <w:rsid w:val="00945502"/>
    <w:rsid w:val="00950F6F"/>
    <w:rsid w:val="00951CAB"/>
    <w:rsid w:val="00952333"/>
    <w:rsid w:val="009556E9"/>
    <w:rsid w:val="00955D88"/>
    <w:rsid w:val="009561EC"/>
    <w:rsid w:val="00961BCE"/>
    <w:rsid w:val="00963D7D"/>
    <w:rsid w:val="009648F7"/>
    <w:rsid w:val="00967C31"/>
    <w:rsid w:val="00971EDC"/>
    <w:rsid w:val="009735A9"/>
    <w:rsid w:val="009739A5"/>
    <w:rsid w:val="00976905"/>
    <w:rsid w:val="00977181"/>
    <w:rsid w:val="00980E82"/>
    <w:rsid w:val="0098152C"/>
    <w:rsid w:val="009865C3"/>
    <w:rsid w:val="00987DC9"/>
    <w:rsid w:val="00991F05"/>
    <w:rsid w:val="009A3624"/>
    <w:rsid w:val="009A66F9"/>
    <w:rsid w:val="009A76B8"/>
    <w:rsid w:val="009A7891"/>
    <w:rsid w:val="009B122F"/>
    <w:rsid w:val="009B567E"/>
    <w:rsid w:val="009B5DA9"/>
    <w:rsid w:val="009B7181"/>
    <w:rsid w:val="009D01F3"/>
    <w:rsid w:val="009D31EB"/>
    <w:rsid w:val="009D3347"/>
    <w:rsid w:val="009D4095"/>
    <w:rsid w:val="009D4796"/>
    <w:rsid w:val="009D5D51"/>
    <w:rsid w:val="009E1DB0"/>
    <w:rsid w:val="009E3182"/>
    <w:rsid w:val="009F4039"/>
    <w:rsid w:val="009F56C2"/>
    <w:rsid w:val="00A0267F"/>
    <w:rsid w:val="00A03A17"/>
    <w:rsid w:val="00A053DF"/>
    <w:rsid w:val="00A072E6"/>
    <w:rsid w:val="00A11C09"/>
    <w:rsid w:val="00A123EA"/>
    <w:rsid w:val="00A12FD1"/>
    <w:rsid w:val="00A13A06"/>
    <w:rsid w:val="00A14D6C"/>
    <w:rsid w:val="00A159E4"/>
    <w:rsid w:val="00A20A0E"/>
    <w:rsid w:val="00A22152"/>
    <w:rsid w:val="00A242C1"/>
    <w:rsid w:val="00A245F7"/>
    <w:rsid w:val="00A26D08"/>
    <w:rsid w:val="00A3152B"/>
    <w:rsid w:val="00A31C9B"/>
    <w:rsid w:val="00A3298C"/>
    <w:rsid w:val="00A35E3F"/>
    <w:rsid w:val="00A368D1"/>
    <w:rsid w:val="00A37176"/>
    <w:rsid w:val="00A42AF8"/>
    <w:rsid w:val="00A43992"/>
    <w:rsid w:val="00A524EE"/>
    <w:rsid w:val="00A529E5"/>
    <w:rsid w:val="00A56066"/>
    <w:rsid w:val="00A5734E"/>
    <w:rsid w:val="00A57DD3"/>
    <w:rsid w:val="00A640BF"/>
    <w:rsid w:val="00A65AF5"/>
    <w:rsid w:val="00A66747"/>
    <w:rsid w:val="00A678AF"/>
    <w:rsid w:val="00A70198"/>
    <w:rsid w:val="00A76F0B"/>
    <w:rsid w:val="00A8025D"/>
    <w:rsid w:val="00A8050C"/>
    <w:rsid w:val="00A8267A"/>
    <w:rsid w:val="00A868E9"/>
    <w:rsid w:val="00A86A9F"/>
    <w:rsid w:val="00A873C4"/>
    <w:rsid w:val="00A87D42"/>
    <w:rsid w:val="00A95747"/>
    <w:rsid w:val="00A9671D"/>
    <w:rsid w:val="00A96AAE"/>
    <w:rsid w:val="00A97C3A"/>
    <w:rsid w:val="00AA0C63"/>
    <w:rsid w:val="00AA1708"/>
    <w:rsid w:val="00AA1745"/>
    <w:rsid w:val="00AA1ADD"/>
    <w:rsid w:val="00AA1F6B"/>
    <w:rsid w:val="00AA42A1"/>
    <w:rsid w:val="00AA641C"/>
    <w:rsid w:val="00AA76C2"/>
    <w:rsid w:val="00AB1C08"/>
    <w:rsid w:val="00AB751A"/>
    <w:rsid w:val="00AC17FA"/>
    <w:rsid w:val="00AC1B48"/>
    <w:rsid w:val="00AD08CC"/>
    <w:rsid w:val="00AD2177"/>
    <w:rsid w:val="00AD5ABB"/>
    <w:rsid w:val="00AE1AAC"/>
    <w:rsid w:val="00AE1CB2"/>
    <w:rsid w:val="00AE1D96"/>
    <w:rsid w:val="00AE3C7E"/>
    <w:rsid w:val="00AE7BAA"/>
    <w:rsid w:val="00AF0340"/>
    <w:rsid w:val="00AF202E"/>
    <w:rsid w:val="00AF543F"/>
    <w:rsid w:val="00AF61B4"/>
    <w:rsid w:val="00B01B07"/>
    <w:rsid w:val="00B01CC9"/>
    <w:rsid w:val="00B03A61"/>
    <w:rsid w:val="00B06CE5"/>
    <w:rsid w:val="00B107DA"/>
    <w:rsid w:val="00B171E8"/>
    <w:rsid w:val="00B17257"/>
    <w:rsid w:val="00B215B1"/>
    <w:rsid w:val="00B21C95"/>
    <w:rsid w:val="00B221C3"/>
    <w:rsid w:val="00B25C54"/>
    <w:rsid w:val="00B30EE7"/>
    <w:rsid w:val="00B30F80"/>
    <w:rsid w:val="00B335EB"/>
    <w:rsid w:val="00B3417F"/>
    <w:rsid w:val="00B36CA2"/>
    <w:rsid w:val="00B4221C"/>
    <w:rsid w:val="00B44386"/>
    <w:rsid w:val="00B45C1C"/>
    <w:rsid w:val="00B46752"/>
    <w:rsid w:val="00B471B0"/>
    <w:rsid w:val="00B525F6"/>
    <w:rsid w:val="00B5383E"/>
    <w:rsid w:val="00B573B1"/>
    <w:rsid w:val="00B63950"/>
    <w:rsid w:val="00B65785"/>
    <w:rsid w:val="00B661A0"/>
    <w:rsid w:val="00B71019"/>
    <w:rsid w:val="00B72D3B"/>
    <w:rsid w:val="00B76C88"/>
    <w:rsid w:val="00B8043D"/>
    <w:rsid w:val="00B812CE"/>
    <w:rsid w:val="00B8260E"/>
    <w:rsid w:val="00B826AF"/>
    <w:rsid w:val="00B90E95"/>
    <w:rsid w:val="00B91F6C"/>
    <w:rsid w:val="00B94ED5"/>
    <w:rsid w:val="00B95F58"/>
    <w:rsid w:val="00B96380"/>
    <w:rsid w:val="00B96B92"/>
    <w:rsid w:val="00B978CA"/>
    <w:rsid w:val="00BA3075"/>
    <w:rsid w:val="00BA474F"/>
    <w:rsid w:val="00BA7A16"/>
    <w:rsid w:val="00BA7C88"/>
    <w:rsid w:val="00BB3B79"/>
    <w:rsid w:val="00BB53E6"/>
    <w:rsid w:val="00BB5CF3"/>
    <w:rsid w:val="00BB6E95"/>
    <w:rsid w:val="00BC09E6"/>
    <w:rsid w:val="00BC12A7"/>
    <w:rsid w:val="00BC1993"/>
    <w:rsid w:val="00BC512C"/>
    <w:rsid w:val="00BC609E"/>
    <w:rsid w:val="00BD2D92"/>
    <w:rsid w:val="00BD62C8"/>
    <w:rsid w:val="00BE0E3F"/>
    <w:rsid w:val="00BE2EB4"/>
    <w:rsid w:val="00BE39D0"/>
    <w:rsid w:val="00BE5348"/>
    <w:rsid w:val="00BF00DF"/>
    <w:rsid w:val="00BF06ED"/>
    <w:rsid w:val="00BF161A"/>
    <w:rsid w:val="00BF1D96"/>
    <w:rsid w:val="00BF2694"/>
    <w:rsid w:val="00BF39EA"/>
    <w:rsid w:val="00BF52A9"/>
    <w:rsid w:val="00BF52DE"/>
    <w:rsid w:val="00C02A3B"/>
    <w:rsid w:val="00C03071"/>
    <w:rsid w:val="00C05223"/>
    <w:rsid w:val="00C11C98"/>
    <w:rsid w:val="00C14192"/>
    <w:rsid w:val="00C149EE"/>
    <w:rsid w:val="00C15809"/>
    <w:rsid w:val="00C1697B"/>
    <w:rsid w:val="00C17A23"/>
    <w:rsid w:val="00C21698"/>
    <w:rsid w:val="00C229D6"/>
    <w:rsid w:val="00C23008"/>
    <w:rsid w:val="00C251DE"/>
    <w:rsid w:val="00C27422"/>
    <w:rsid w:val="00C31C7A"/>
    <w:rsid w:val="00C3686F"/>
    <w:rsid w:val="00C420DC"/>
    <w:rsid w:val="00C4323D"/>
    <w:rsid w:val="00C451A6"/>
    <w:rsid w:val="00C4593E"/>
    <w:rsid w:val="00C459E8"/>
    <w:rsid w:val="00C46F5D"/>
    <w:rsid w:val="00C476A7"/>
    <w:rsid w:val="00C50A14"/>
    <w:rsid w:val="00C51DD7"/>
    <w:rsid w:val="00C5493B"/>
    <w:rsid w:val="00C6207B"/>
    <w:rsid w:val="00C671F1"/>
    <w:rsid w:val="00C70152"/>
    <w:rsid w:val="00C712E0"/>
    <w:rsid w:val="00C72807"/>
    <w:rsid w:val="00C776A0"/>
    <w:rsid w:val="00C83728"/>
    <w:rsid w:val="00C851E9"/>
    <w:rsid w:val="00C86A6D"/>
    <w:rsid w:val="00C86B2A"/>
    <w:rsid w:val="00C913EB"/>
    <w:rsid w:val="00C96332"/>
    <w:rsid w:val="00CA142A"/>
    <w:rsid w:val="00CA6DCA"/>
    <w:rsid w:val="00CB0267"/>
    <w:rsid w:val="00CD131B"/>
    <w:rsid w:val="00CD30DC"/>
    <w:rsid w:val="00CD37A9"/>
    <w:rsid w:val="00CD47B0"/>
    <w:rsid w:val="00CE0EAD"/>
    <w:rsid w:val="00CE2DFE"/>
    <w:rsid w:val="00CF6132"/>
    <w:rsid w:val="00D02766"/>
    <w:rsid w:val="00D032A5"/>
    <w:rsid w:val="00D04234"/>
    <w:rsid w:val="00D054D3"/>
    <w:rsid w:val="00D054F5"/>
    <w:rsid w:val="00D05D38"/>
    <w:rsid w:val="00D12019"/>
    <w:rsid w:val="00D14296"/>
    <w:rsid w:val="00D14BA0"/>
    <w:rsid w:val="00D24022"/>
    <w:rsid w:val="00D24B0E"/>
    <w:rsid w:val="00D27F7B"/>
    <w:rsid w:val="00D32B82"/>
    <w:rsid w:val="00D34589"/>
    <w:rsid w:val="00D3569D"/>
    <w:rsid w:val="00D37BAC"/>
    <w:rsid w:val="00D42ED7"/>
    <w:rsid w:val="00D43A83"/>
    <w:rsid w:val="00D44127"/>
    <w:rsid w:val="00D509CC"/>
    <w:rsid w:val="00D5640D"/>
    <w:rsid w:val="00D573F6"/>
    <w:rsid w:val="00D57B3B"/>
    <w:rsid w:val="00D63E7A"/>
    <w:rsid w:val="00D65AFC"/>
    <w:rsid w:val="00D6716E"/>
    <w:rsid w:val="00D67471"/>
    <w:rsid w:val="00D675C8"/>
    <w:rsid w:val="00D72078"/>
    <w:rsid w:val="00D72A67"/>
    <w:rsid w:val="00D7518A"/>
    <w:rsid w:val="00D76015"/>
    <w:rsid w:val="00D81254"/>
    <w:rsid w:val="00D82EB3"/>
    <w:rsid w:val="00D867A9"/>
    <w:rsid w:val="00D90B3F"/>
    <w:rsid w:val="00D912E3"/>
    <w:rsid w:val="00D94180"/>
    <w:rsid w:val="00D95372"/>
    <w:rsid w:val="00D97682"/>
    <w:rsid w:val="00D97F2E"/>
    <w:rsid w:val="00DA0D36"/>
    <w:rsid w:val="00DA1ABD"/>
    <w:rsid w:val="00DA1B21"/>
    <w:rsid w:val="00DA1D5E"/>
    <w:rsid w:val="00DA2408"/>
    <w:rsid w:val="00DA6428"/>
    <w:rsid w:val="00DA6909"/>
    <w:rsid w:val="00DA7CE0"/>
    <w:rsid w:val="00DB0E92"/>
    <w:rsid w:val="00DB48E5"/>
    <w:rsid w:val="00DB57D5"/>
    <w:rsid w:val="00DC100C"/>
    <w:rsid w:val="00DC28F0"/>
    <w:rsid w:val="00DD09D5"/>
    <w:rsid w:val="00DD5916"/>
    <w:rsid w:val="00DE026F"/>
    <w:rsid w:val="00DE1306"/>
    <w:rsid w:val="00DE1ED3"/>
    <w:rsid w:val="00DE2BA8"/>
    <w:rsid w:val="00DE2C70"/>
    <w:rsid w:val="00DE3FA5"/>
    <w:rsid w:val="00DE54F0"/>
    <w:rsid w:val="00DE5B12"/>
    <w:rsid w:val="00E03EA0"/>
    <w:rsid w:val="00E04996"/>
    <w:rsid w:val="00E07575"/>
    <w:rsid w:val="00E1502E"/>
    <w:rsid w:val="00E1628F"/>
    <w:rsid w:val="00E24DB8"/>
    <w:rsid w:val="00E25F22"/>
    <w:rsid w:val="00E33E4A"/>
    <w:rsid w:val="00E3795C"/>
    <w:rsid w:val="00E37C3C"/>
    <w:rsid w:val="00E40E83"/>
    <w:rsid w:val="00E4276F"/>
    <w:rsid w:val="00E434C8"/>
    <w:rsid w:val="00E43DA4"/>
    <w:rsid w:val="00E451A3"/>
    <w:rsid w:val="00E5606D"/>
    <w:rsid w:val="00E561BF"/>
    <w:rsid w:val="00E612CB"/>
    <w:rsid w:val="00E65721"/>
    <w:rsid w:val="00E67373"/>
    <w:rsid w:val="00E676C3"/>
    <w:rsid w:val="00E7187A"/>
    <w:rsid w:val="00E72FAC"/>
    <w:rsid w:val="00E731EA"/>
    <w:rsid w:val="00E757D7"/>
    <w:rsid w:val="00E76615"/>
    <w:rsid w:val="00E768AD"/>
    <w:rsid w:val="00E8137B"/>
    <w:rsid w:val="00E81FA0"/>
    <w:rsid w:val="00E820B5"/>
    <w:rsid w:val="00E82F2C"/>
    <w:rsid w:val="00E856B6"/>
    <w:rsid w:val="00E85FB2"/>
    <w:rsid w:val="00E91B5F"/>
    <w:rsid w:val="00E95B56"/>
    <w:rsid w:val="00EA185B"/>
    <w:rsid w:val="00EA2244"/>
    <w:rsid w:val="00EA365B"/>
    <w:rsid w:val="00EA5163"/>
    <w:rsid w:val="00EB0575"/>
    <w:rsid w:val="00EB3300"/>
    <w:rsid w:val="00EB632D"/>
    <w:rsid w:val="00EB6E4C"/>
    <w:rsid w:val="00EB7A58"/>
    <w:rsid w:val="00EC15DC"/>
    <w:rsid w:val="00EC2508"/>
    <w:rsid w:val="00EC6C54"/>
    <w:rsid w:val="00EC7C35"/>
    <w:rsid w:val="00ED2B30"/>
    <w:rsid w:val="00ED35AD"/>
    <w:rsid w:val="00EF08D0"/>
    <w:rsid w:val="00F001F4"/>
    <w:rsid w:val="00F022B7"/>
    <w:rsid w:val="00F03AD9"/>
    <w:rsid w:val="00F103BB"/>
    <w:rsid w:val="00F103E3"/>
    <w:rsid w:val="00F12427"/>
    <w:rsid w:val="00F12DD4"/>
    <w:rsid w:val="00F154A8"/>
    <w:rsid w:val="00F21745"/>
    <w:rsid w:val="00F223B7"/>
    <w:rsid w:val="00F22DB1"/>
    <w:rsid w:val="00F2361F"/>
    <w:rsid w:val="00F23B6C"/>
    <w:rsid w:val="00F250E7"/>
    <w:rsid w:val="00F26DC5"/>
    <w:rsid w:val="00F30A86"/>
    <w:rsid w:val="00F33CF5"/>
    <w:rsid w:val="00F36C4E"/>
    <w:rsid w:val="00F410D4"/>
    <w:rsid w:val="00F4475B"/>
    <w:rsid w:val="00F45BE4"/>
    <w:rsid w:val="00F517AC"/>
    <w:rsid w:val="00F51896"/>
    <w:rsid w:val="00F55CC3"/>
    <w:rsid w:val="00F61475"/>
    <w:rsid w:val="00F618CC"/>
    <w:rsid w:val="00F62DC5"/>
    <w:rsid w:val="00F63437"/>
    <w:rsid w:val="00F634F5"/>
    <w:rsid w:val="00F747AD"/>
    <w:rsid w:val="00F7630F"/>
    <w:rsid w:val="00F801B5"/>
    <w:rsid w:val="00F845C9"/>
    <w:rsid w:val="00F861BC"/>
    <w:rsid w:val="00F86F26"/>
    <w:rsid w:val="00F91293"/>
    <w:rsid w:val="00F95AC3"/>
    <w:rsid w:val="00F96D91"/>
    <w:rsid w:val="00FA1D77"/>
    <w:rsid w:val="00FA3CDF"/>
    <w:rsid w:val="00FA3DD4"/>
    <w:rsid w:val="00FA7417"/>
    <w:rsid w:val="00FA7EB8"/>
    <w:rsid w:val="00FB3159"/>
    <w:rsid w:val="00FB69F5"/>
    <w:rsid w:val="00FC2926"/>
    <w:rsid w:val="00FC34BA"/>
    <w:rsid w:val="00FC3C04"/>
    <w:rsid w:val="00FC4667"/>
    <w:rsid w:val="00FC6AD4"/>
    <w:rsid w:val="00FD00FE"/>
    <w:rsid w:val="00FD2075"/>
    <w:rsid w:val="00FD4C37"/>
    <w:rsid w:val="00FD69B5"/>
    <w:rsid w:val="00FE0532"/>
    <w:rsid w:val="00FE1E8C"/>
    <w:rsid w:val="00FE2BB3"/>
    <w:rsid w:val="00FF0BA7"/>
    <w:rsid w:val="00FF119F"/>
    <w:rsid w:val="00FF2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36C1C"/>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F8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851F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851F8D"/>
    <w:pPr>
      <w:pBdr>
        <w:top w:val="none" w:sz="0" w:space="0" w:color="auto"/>
      </w:pBdr>
      <w:spacing w:before="180"/>
      <w:ind w:left="0" w:firstLine="0"/>
      <w:outlineLvl w:val="1"/>
    </w:pPr>
    <w:rPr>
      <w:sz w:val="32"/>
    </w:rPr>
  </w:style>
  <w:style w:type="paragraph" w:styleId="Heading3">
    <w:name w:val="heading 3"/>
    <w:basedOn w:val="Heading2"/>
    <w:next w:val="Normal"/>
    <w:qFormat/>
    <w:rsid w:val="00851F8D"/>
    <w:pPr>
      <w:spacing w:before="120"/>
      <w:outlineLvl w:val="2"/>
    </w:pPr>
    <w:rPr>
      <w:sz w:val="28"/>
    </w:rPr>
  </w:style>
  <w:style w:type="paragraph" w:styleId="Heading4">
    <w:name w:val="heading 4"/>
    <w:basedOn w:val="Heading3"/>
    <w:next w:val="Normal"/>
    <w:qFormat/>
    <w:rsid w:val="00851F8D"/>
    <w:pPr>
      <w:ind w:left="1418" w:hanging="1418"/>
      <w:outlineLvl w:val="3"/>
    </w:pPr>
    <w:rPr>
      <w:sz w:val="24"/>
    </w:rPr>
  </w:style>
  <w:style w:type="paragraph" w:styleId="Heading5">
    <w:name w:val="heading 5"/>
    <w:basedOn w:val="Heading4"/>
    <w:next w:val="Normal"/>
    <w:qFormat/>
    <w:rsid w:val="00851F8D"/>
    <w:pPr>
      <w:ind w:left="1701" w:hanging="1701"/>
      <w:outlineLvl w:val="4"/>
    </w:pPr>
    <w:rPr>
      <w:sz w:val="22"/>
    </w:rPr>
  </w:style>
  <w:style w:type="paragraph" w:styleId="Heading6">
    <w:name w:val="heading 6"/>
    <w:basedOn w:val="H6"/>
    <w:next w:val="Normal"/>
    <w:qFormat/>
    <w:rsid w:val="00851F8D"/>
    <w:pPr>
      <w:outlineLvl w:val="5"/>
    </w:pPr>
  </w:style>
  <w:style w:type="paragraph" w:styleId="Heading7">
    <w:name w:val="heading 7"/>
    <w:basedOn w:val="H6"/>
    <w:next w:val="Normal"/>
    <w:qFormat/>
    <w:rsid w:val="00851F8D"/>
    <w:pPr>
      <w:outlineLvl w:val="6"/>
    </w:pPr>
  </w:style>
  <w:style w:type="paragraph" w:styleId="Heading8">
    <w:name w:val="heading 8"/>
    <w:basedOn w:val="Heading1"/>
    <w:next w:val="Normal"/>
    <w:qFormat/>
    <w:rsid w:val="00851F8D"/>
    <w:pPr>
      <w:ind w:left="0" w:firstLine="0"/>
      <w:outlineLvl w:val="7"/>
    </w:pPr>
  </w:style>
  <w:style w:type="paragraph" w:styleId="Heading9">
    <w:name w:val="heading 9"/>
    <w:basedOn w:val="Heading8"/>
    <w:next w:val="Normal"/>
    <w:qFormat/>
    <w:rsid w:val="00851F8D"/>
    <w:pPr>
      <w:outlineLvl w:val="8"/>
    </w:pPr>
  </w:style>
  <w:style w:type="character" w:default="1" w:styleId="DefaultParagraphFont">
    <w:name w:val="Default Paragraph Font"/>
    <w:semiHidden/>
    <w:rsid w:val="00851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F8D"/>
  </w:style>
  <w:style w:type="paragraph" w:styleId="TOC8">
    <w:name w:val="toc 8"/>
    <w:basedOn w:val="TOC1"/>
    <w:semiHidden/>
    <w:rsid w:val="00851F8D"/>
    <w:pPr>
      <w:spacing w:before="180"/>
      <w:ind w:left="2693" w:hanging="2693"/>
    </w:pPr>
    <w:rPr>
      <w:b/>
    </w:rPr>
  </w:style>
  <w:style w:type="paragraph" w:styleId="TOC1">
    <w:name w:val="toc 1"/>
    <w:semiHidden/>
    <w:rsid w:val="00851F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51F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851F8D"/>
    <w:pPr>
      <w:ind w:left="1701" w:hanging="1701"/>
    </w:pPr>
  </w:style>
  <w:style w:type="paragraph" w:styleId="TOC4">
    <w:name w:val="toc 4"/>
    <w:basedOn w:val="TOC3"/>
    <w:semiHidden/>
    <w:rsid w:val="00851F8D"/>
    <w:pPr>
      <w:ind w:left="1418" w:hanging="1418"/>
    </w:pPr>
  </w:style>
  <w:style w:type="paragraph" w:styleId="TOC3">
    <w:name w:val="toc 3"/>
    <w:basedOn w:val="TOC2"/>
    <w:semiHidden/>
    <w:rsid w:val="00851F8D"/>
    <w:pPr>
      <w:ind w:left="1134" w:hanging="1134"/>
    </w:pPr>
  </w:style>
  <w:style w:type="paragraph" w:styleId="TOC2">
    <w:name w:val="toc 2"/>
    <w:basedOn w:val="TOC1"/>
    <w:semiHidden/>
    <w:rsid w:val="00851F8D"/>
    <w:pPr>
      <w:keepNext w:val="0"/>
      <w:spacing w:before="0"/>
      <w:ind w:left="851" w:hanging="851"/>
    </w:pPr>
    <w:rPr>
      <w:sz w:val="20"/>
    </w:rPr>
  </w:style>
  <w:style w:type="paragraph" w:styleId="Index2">
    <w:name w:val="index 2"/>
    <w:basedOn w:val="Index1"/>
    <w:semiHidden/>
    <w:rsid w:val="00851F8D"/>
    <w:pPr>
      <w:ind w:left="284"/>
    </w:pPr>
  </w:style>
  <w:style w:type="paragraph" w:styleId="Index1">
    <w:name w:val="index 1"/>
    <w:basedOn w:val="Normal"/>
    <w:semiHidden/>
    <w:rsid w:val="00851F8D"/>
    <w:pPr>
      <w:keepLines/>
      <w:spacing w:after="0"/>
    </w:pPr>
  </w:style>
  <w:style w:type="paragraph" w:customStyle="1" w:styleId="ZH">
    <w:name w:val="ZH"/>
    <w:rsid w:val="00851F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51F8D"/>
    <w:pPr>
      <w:outlineLvl w:val="9"/>
    </w:pPr>
  </w:style>
  <w:style w:type="paragraph" w:styleId="ListNumber2">
    <w:name w:val="List Number 2"/>
    <w:basedOn w:val="ListNumber"/>
    <w:semiHidden/>
    <w:rsid w:val="00851F8D"/>
    <w:pPr>
      <w:ind w:left="851"/>
    </w:pPr>
  </w:style>
  <w:style w:type="paragraph" w:styleId="Header">
    <w:name w:val="header"/>
    <w:semiHidden/>
    <w:rsid w:val="00851F8D"/>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851F8D"/>
    <w:rPr>
      <w:b/>
      <w:position w:val="6"/>
      <w:sz w:val="16"/>
    </w:rPr>
  </w:style>
  <w:style w:type="paragraph" w:styleId="FootnoteText">
    <w:name w:val="footnote text"/>
    <w:basedOn w:val="Normal"/>
    <w:semiHidden/>
    <w:rsid w:val="00851F8D"/>
    <w:pPr>
      <w:keepLines/>
      <w:spacing w:after="0"/>
      <w:ind w:left="454" w:hanging="454"/>
    </w:pPr>
    <w:rPr>
      <w:sz w:val="16"/>
    </w:rPr>
  </w:style>
  <w:style w:type="paragraph" w:customStyle="1" w:styleId="TAH">
    <w:name w:val="TAH"/>
    <w:basedOn w:val="TAC"/>
    <w:rsid w:val="00851F8D"/>
    <w:rPr>
      <w:b/>
    </w:rPr>
  </w:style>
  <w:style w:type="paragraph" w:customStyle="1" w:styleId="TAC">
    <w:name w:val="TAC"/>
    <w:basedOn w:val="TAL"/>
    <w:rsid w:val="00851F8D"/>
    <w:pPr>
      <w:jc w:val="center"/>
    </w:pPr>
  </w:style>
  <w:style w:type="paragraph" w:customStyle="1" w:styleId="TF">
    <w:name w:val="TF"/>
    <w:basedOn w:val="TH"/>
    <w:rsid w:val="00851F8D"/>
    <w:pPr>
      <w:keepNext w:val="0"/>
      <w:spacing w:before="0" w:after="240"/>
    </w:pPr>
  </w:style>
  <w:style w:type="paragraph" w:customStyle="1" w:styleId="NO">
    <w:name w:val="NO"/>
    <w:basedOn w:val="Normal"/>
    <w:rsid w:val="00851F8D"/>
    <w:pPr>
      <w:keepLines/>
      <w:ind w:left="1135" w:hanging="851"/>
    </w:pPr>
  </w:style>
  <w:style w:type="paragraph" w:styleId="TOC9">
    <w:name w:val="toc 9"/>
    <w:basedOn w:val="TOC8"/>
    <w:semiHidden/>
    <w:rsid w:val="00851F8D"/>
    <w:pPr>
      <w:ind w:left="1418" w:hanging="1418"/>
    </w:pPr>
  </w:style>
  <w:style w:type="paragraph" w:customStyle="1" w:styleId="EX">
    <w:name w:val="EX"/>
    <w:basedOn w:val="Normal"/>
    <w:rsid w:val="00851F8D"/>
    <w:pPr>
      <w:keepLines/>
      <w:ind w:left="1702" w:hanging="1418"/>
    </w:pPr>
  </w:style>
  <w:style w:type="paragraph" w:customStyle="1" w:styleId="FP">
    <w:name w:val="FP"/>
    <w:basedOn w:val="Normal"/>
    <w:rsid w:val="00851F8D"/>
    <w:pPr>
      <w:spacing w:after="0"/>
    </w:pPr>
  </w:style>
  <w:style w:type="paragraph" w:customStyle="1" w:styleId="LD">
    <w:name w:val="LD"/>
    <w:rsid w:val="00851F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51F8D"/>
    <w:pPr>
      <w:spacing w:after="0"/>
    </w:pPr>
  </w:style>
  <w:style w:type="paragraph" w:customStyle="1" w:styleId="EW">
    <w:name w:val="EW"/>
    <w:basedOn w:val="EX"/>
    <w:rsid w:val="00851F8D"/>
    <w:pPr>
      <w:spacing w:after="0"/>
    </w:pPr>
  </w:style>
  <w:style w:type="paragraph" w:styleId="TOC6">
    <w:name w:val="toc 6"/>
    <w:basedOn w:val="TOC5"/>
    <w:next w:val="Normal"/>
    <w:semiHidden/>
    <w:rsid w:val="00851F8D"/>
    <w:pPr>
      <w:ind w:left="1985" w:hanging="1985"/>
    </w:pPr>
  </w:style>
  <w:style w:type="paragraph" w:styleId="TOC7">
    <w:name w:val="toc 7"/>
    <w:basedOn w:val="TOC6"/>
    <w:next w:val="Normal"/>
    <w:semiHidden/>
    <w:rsid w:val="00851F8D"/>
    <w:pPr>
      <w:ind w:left="2268" w:hanging="2268"/>
    </w:pPr>
  </w:style>
  <w:style w:type="paragraph" w:styleId="ListBullet2">
    <w:name w:val="List Bullet 2"/>
    <w:basedOn w:val="ListBullet"/>
    <w:semiHidden/>
    <w:rsid w:val="00851F8D"/>
    <w:pPr>
      <w:ind w:left="851"/>
    </w:pPr>
  </w:style>
  <w:style w:type="paragraph" w:styleId="ListBullet3">
    <w:name w:val="List Bullet 3"/>
    <w:basedOn w:val="ListBullet2"/>
    <w:semiHidden/>
    <w:rsid w:val="00851F8D"/>
    <w:pPr>
      <w:ind w:left="1135"/>
    </w:pPr>
  </w:style>
  <w:style w:type="paragraph" w:styleId="ListNumber">
    <w:name w:val="List Number"/>
    <w:basedOn w:val="List"/>
    <w:semiHidden/>
    <w:rsid w:val="00851F8D"/>
  </w:style>
  <w:style w:type="paragraph" w:customStyle="1" w:styleId="EQ">
    <w:name w:val="EQ"/>
    <w:basedOn w:val="Normal"/>
    <w:next w:val="Normal"/>
    <w:rsid w:val="00851F8D"/>
    <w:pPr>
      <w:keepLines/>
      <w:tabs>
        <w:tab w:val="center" w:pos="4536"/>
        <w:tab w:val="right" w:pos="9072"/>
      </w:tabs>
    </w:pPr>
    <w:rPr>
      <w:noProof/>
    </w:rPr>
  </w:style>
  <w:style w:type="paragraph" w:customStyle="1" w:styleId="TH">
    <w:name w:val="TH"/>
    <w:basedOn w:val="Normal"/>
    <w:rsid w:val="00851F8D"/>
    <w:pPr>
      <w:keepNext/>
      <w:keepLines/>
      <w:spacing w:before="60"/>
      <w:jc w:val="center"/>
    </w:pPr>
    <w:rPr>
      <w:rFonts w:ascii="Arial" w:hAnsi="Arial"/>
      <w:b/>
    </w:rPr>
  </w:style>
  <w:style w:type="paragraph" w:customStyle="1" w:styleId="NF">
    <w:name w:val="NF"/>
    <w:basedOn w:val="NO"/>
    <w:rsid w:val="00851F8D"/>
    <w:pPr>
      <w:keepNext/>
      <w:spacing w:after="0"/>
    </w:pPr>
    <w:rPr>
      <w:rFonts w:ascii="Arial" w:hAnsi="Arial"/>
      <w:sz w:val="18"/>
    </w:rPr>
  </w:style>
  <w:style w:type="paragraph" w:customStyle="1" w:styleId="PL">
    <w:name w:val="PL"/>
    <w:rsid w:val="0085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1F8D"/>
    <w:pPr>
      <w:jc w:val="right"/>
    </w:pPr>
  </w:style>
  <w:style w:type="paragraph" w:customStyle="1" w:styleId="H6">
    <w:name w:val="H6"/>
    <w:basedOn w:val="Heading5"/>
    <w:next w:val="Normal"/>
    <w:rsid w:val="00851F8D"/>
    <w:pPr>
      <w:ind w:left="1985" w:hanging="1985"/>
      <w:outlineLvl w:val="9"/>
    </w:pPr>
    <w:rPr>
      <w:sz w:val="20"/>
    </w:rPr>
  </w:style>
  <w:style w:type="paragraph" w:customStyle="1" w:styleId="TAN">
    <w:name w:val="TAN"/>
    <w:basedOn w:val="TAL"/>
    <w:rsid w:val="00851F8D"/>
    <w:pPr>
      <w:ind w:left="851" w:hanging="851"/>
    </w:pPr>
  </w:style>
  <w:style w:type="paragraph" w:customStyle="1" w:styleId="TAL">
    <w:name w:val="TAL"/>
    <w:basedOn w:val="Normal"/>
    <w:rsid w:val="00851F8D"/>
    <w:pPr>
      <w:keepNext/>
      <w:keepLines/>
      <w:spacing w:after="0"/>
    </w:pPr>
    <w:rPr>
      <w:rFonts w:ascii="Arial" w:hAnsi="Arial"/>
      <w:sz w:val="18"/>
    </w:rPr>
  </w:style>
  <w:style w:type="paragraph" w:customStyle="1" w:styleId="ZA">
    <w:name w:val="ZA"/>
    <w:rsid w:val="00851F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1F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51F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51F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51F8D"/>
    <w:pPr>
      <w:framePr w:wrap="notBeside" w:y="16161"/>
    </w:pPr>
  </w:style>
  <w:style w:type="character" w:customStyle="1" w:styleId="ZGSM">
    <w:name w:val="ZGSM"/>
    <w:rsid w:val="00851F8D"/>
  </w:style>
  <w:style w:type="paragraph" w:styleId="List2">
    <w:name w:val="List 2"/>
    <w:basedOn w:val="List"/>
    <w:semiHidden/>
    <w:rsid w:val="00851F8D"/>
    <w:pPr>
      <w:ind w:left="851"/>
    </w:pPr>
  </w:style>
  <w:style w:type="paragraph" w:customStyle="1" w:styleId="ZG">
    <w:name w:val="ZG"/>
    <w:rsid w:val="00851F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51F8D"/>
    <w:pPr>
      <w:ind w:left="1135"/>
    </w:pPr>
  </w:style>
  <w:style w:type="paragraph" w:styleId="List4">
    <w:name w:val="List 4"/>
    <w:basedOn w:val="List3"/>
    <w:semiHidden/>
    <w:rsid w:val="00851F8D"/>
    <w:pPr>
      <w:ind w:left="1418"/>
    </w:pPr>
  </w:style>
  <w:style w:type="paragraph" w:styleId="List5">
    <w:name w:val="List 5"/>
    <w:basedOn w:val="List4"/>
    <w:semiHidden/>
    <w:rsid w:val="00851F8D"/>
    <w:pPr>
      <w:ind w:left="1702"/>
    </w:pPr>
  </w:style>
  <w:style w:type="paragraph" w:customStyle="1" w:styleId="EditorsNote">
    <w:name w:val="Editor's Note"/>
    <w:basedOn w:val="NO"/>
    <w:rsid w:val="00851F8D"/>
    <w:rPr>
      <w:color w:val="FF0000"/>
    </w:rPr>
  </w:style>
  <w:style w:type="paragraph" w:styleId="List">
    <w:name w:val="List"/>
    <w:basedOn w:val="Normal"/>
    <w:semiHidden/>
    <w:rsid w:val="00851F8D"/>
    <w:pPr>
      <w:ind w:left="568" w:hanging="284"/>
    </w:pPr>
  </w:style>
  <w:style w:type="paragraph" w:styleId="ListBullet">
    <w:name w:val="List Bullet"/>
    <w:basedOn w:val="List"/>
    <w:semiHidden/>
    <w:rsid w:val="00851F8D"/>
  </w:style>
  <w:style w:type="paragraph" w:styleId="ListBullet4">
    <w:name w:val="List Bullet 4"/>
    <w:basedOn w:val="ListBullet3"/>
    <w:semiHidden/>
    <w:rsid w:val="00851F8D"/>
    <w:pPr>
      <w:ind w:left="1418"/>
    </w:pPr>
  </w:style>
  <w:style w:type="paragraph" w:styleId="ListBullet5">
    <w:name w:val="List Bullet 5"/>
    <w:basedOn w:val="ListBullet4"/>
    <w:semiHidden/>
    <w:rsid w:val="00851F8D"/>
    <w:pPr>
      <w:ind w:left="1702"/>
    </w:pPr>
  </w:style>
  <w:style w:type="paragraph" w:customStyle="1" w:styleId="B1">
    <w:name w:val="B1"/>
    <w:basedOn w:val="List"/>
    <w:rsid w:val="00851F8D"/>
  </w:style>
  <w:style w:type="paragraph" w:customStyle="1" w:styleId="B2">
    <w:name w:val="B2"/>
    <w:basedOn w:val="List2"/>
    <w:rsid w:val="00851F8D"/>
  </w:style>
  <w:style w:type="paragraph" w:customStyle="1" w:styleId="B3">
    <w:name w:val="B3"/>
    <w:basedOn w:val="List3"/>
    <w:rsid w:val="00851F8D"/>
  </w:style>
  <w:style w:type="paragraph" w:customStyle="1" w:styleId="B4">
    <w:name w:val="B4"/>
    <w:basedOn w:val="List4"/>
    <w:rsid w:val="00851F8D"/>
  </w:style>
  <w:style w:type="paragraph" w:customStyle="1" w:styleId="B5">
    <w:name w:val="B5"/>
    <w:basedOn w:val="List5"/>
    <w:rsid w:val="00851F8D"/>
  </w:style>
  <w:style w:type="paragraph" w:styleId="Footer">
    <w:name w:val="footer"/>
    <w:basedOn w:val="Header"/>
    <w:semiHidden/>
    <w:rsid w:val="00851F8D"/>
    <w:pPr>
      <w:jc w:val="center"/>
    </w:pPr>
    <w:rPr>
      <w:i/>
    </w:rPr>
  </w:style>
  <w:style w:type="paragraph" w:customStyle="1" w:styleId="ZTD">
    <w:name w:val="ZTD"/>
    <w:basedOn w:val="ZB"/>
    <w:rsid w:val="00851F8D"/>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1D77"/>
    <w:rPr>
      <w:rFonts w:ascii="Times New Roman" w:hAnsi="Times New Roman"/>
      <w:lang w:val="en-GB"/>
    </w:rPr>
  </w:style>
  <w:style w:type="character" w:customStyle="1" w:styleId="Heading1Char">
    <w:name w:val="Heading 1 Char"/>
    <w:basedOn w:val="DefaultParagraphFont"/>
    <w:link w:val="Heading1"/>
    <w:rsid w:val="00BC12A7"/>
    <w:rPr>
      <w:rFonts w:ascii="Arial" w:eastAsia="Times New Roman" w:hAnsi="Arial"/>
      <w:sz w:val="36"/>
      <w:lang w:val="en-GB"/>
    </w:rPr>
  </w:style>
  <w:style w:type="character" w:styleId="CommentReference">
    <w:name w:val="annotation reference"/>
    <w:basedOn w:val="DefaultParagraphFont"/>
    <w:unhideWhenUsed/>
    <w:qFormat/>
    <w:rsid w:val="0084123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42422">
      <w:bodyDiv w:val="1"/>
      <w:marLeft w:val="0"/>
      <w:marRight w:val="0"/>
      <w:marTop w:val="0"/>
      <w:marBottom w:val="0"/>
      <w:divBdr>
        <w:top w:val="none" w:sz="0" w:space="0" w:color="auto"/>
        <w:left w:val="none" w:sz="0" w:space="0" w:color="auto"/>
        <w:bottom w:val="none" w:sz="0" w:space="0" w:color="auto"/>
        <w:right w:val="none" w:sz="0" w:space="0" w:color="auto"/>
      </w:divBdr>
      <w:divsChild>
        <w:div w:id="2045860831">
          <w:marLeft w:val="274"/>
          <w:marRight w:val="0"/>
          <w:marTop w:val="120"/>
          <w:marBottom w:val="0"/>
          <w:divBdr>
            <w:top w:val="none" w:sz="0" w:space="0" w:color="auto"/>
            <w:left w:val="none" w:sz="0" w:space="0" w:color="auto"/>
            <w:bottom w:val="none" w:sz="0" w:space="0" w:color="auto"/>
            <w:right w:val="none" w:sz="0" w:space="0" w:color="auto"/>
          </w:divBdr>
        </w:div>
      </w:divsChild>
    </w:div>
    <w:div w:id="517045381">
      <w:bodyDiv w:val="1"/>
      <w:marLeft w:val="0"/>
      <w:marRight w:val="0"/>
      <w:marTop w:val="0"/>
      <w:marBottom w:val="0"/>
      <w:divBdr>
        <w:top w:val="none" w:sz="0" w:space="0" w:color="auto"/>
        <w:left w:val="none" w:sz="0" w:space="0" w:color="auto"/>
        <w:bottom w:val="none" w:sz="0" w:space="0" w:color="auto"/>
        <w:right w:val="none" w:sz="0" w:space="0" w:color="auto"/>
      </w:divBdr>
      <w:divsChild>
        <w:div w:id="1752115602">
          <w:marLeft w:val="274"/>
          <w:marRight w:val="0"/>
          <w:marTop w:val="240"/>
          <w:marBottom w:val="0"/>
          <w:divBdr>
            <w:top w:val="none" w:sz="0" w:space="0" w:color="auto"/>
            <w:left w:val="none" w:sz="0" w:space="0" w:color="auto"/>
            <w:bottom w:val="none" w:sz="0" w:space="0" w:color="auto"/>
            <w:right w:val="none" w:sz="0" w:space="0" w:color="auto"/>
          </w:divBdr>
        </w:div>
        <w:div w:id="775715209">
          <w:marLeft w:val="533"/>
          <w:marRight w:val="0"/>
          <w:marTop w:val="0"/>
          <w:marBottom w:val="0"/>
          <w:divBdr>
            <w:top w:val="none" w:sz="0" w:space="0" w:color="auto"/>
            <w:left w:val="none" w:sz="0" w:space="0" w:color="auto"/>
            <w:bottom w:val="none" w:sz="0" w:space="0" w:color="auto"/>
            <w:right w:val="none" w:sz="0" w:space="0" w:color="auto"/>
          </w:divBdr>
        </w:div>
        <w:div w:id="1919554046">
          <w:marLeft w:val="533"/>
          <w:marRight w:val="0"/>
          <w:marTop w:val="0"/>
          <w:marBottom w:val="0"/>
          <w:divBdr>
            <w:top w:val="none" w:sz="0" w:space="0" w:color="auto"/>
            <w:left w:val="none" w:sz="0" w:space="0" w:color="auto"/>
            <w:bottom w:val="none" w:sz="0" w:space="0" w:color="auto"/>
            <w:right w:val="none" w:sz="0" w:space="0" w:color="auto"/>
          </w:divBdr>
        </w:div>
        <w:div w:id="326327715">
          <w:marLeft w:val="274"/>
          <w:marRight w:val="0"/>
          <w:marTop w:val="240"/>
          <w:marBottom w:val="0"/>
          <w:divBdr>
            <w:top w:val="none" w:sz="0" w:space="0" w:color="auto"/>
            <w:left w:val="none" w:sz="0" w:space="0" w:color="auto"/>
            <w:bottom w:val="none" w:sz="0" w:space="0" w:color="auto"/>
            <w:right w:val="none" w:sz="0" w:space="0" w:color="auto"/>
          </w:divBdr>
        </w:div>
        <w:div w:id="2061056802">
          <w:marLeft w:val="533"/>
          <w:marRight w:val="0"/>
          <w:marTop w:val="0"/>
          <w:marBottom w:val="0"/>
          <w:divBdr>
            <w:top w:val="none" w:sz="0" w:space="0" w:color="auto"/>
            <w:left w:val="none" w:sz="0" w:space="0" w:color="auto"/>
            <w:bottom w:val="none" w:sz="0" w:space="0" w:color="auto"/>
            <w:right w:val="none" w:sz="0" w:space="0" w:color="auto"/>
          </w:divBdr>
        </w:div>
        <w:div w:id="1098991063">
          <w:marLeft w:val="533"/>
          <w:marRight w:val="0"/>
          <w:marTop w:val="0"/>
          <w:marBottom w:val="0"/>
          <w:divBdr>
            <w:top w:val="none" w:sz="0" w:space="0" w:color="auto"/>
            <w:left w:val="none" w:sz="0" w:space="0" w:color="auto"/>
            <w:bottom w:val="none" w:sz="0" w:space="0" w:color="auto"/>
            <w:right w:val="none" w:sz="0" w:space="0" w:color="auto"/>
          </w:divBdr>
        </w:div>
        <w:div w:id="1091196868">
          <w:marLeft w:val="533"/>
          <w:marRight w:val="0"/>
          <w:marTop w:val="0"/>
          <w:marBottom w:val="0"/>
          <w:divBdr>
            <w:top w:val="none" w:sz="0" w:space="0" w:color="auto"/>
            <w:left w:val="none" w:sz="0" w:space="0" w:color="auto"/>
            <w:bottom w:val="none" w:sz="0" w:space="0" w:color="auto"/>
            <w:right w:val="none" w:sz="0" w:space="0" w:color="auto"/>
          </w:divBdr>
        </w:div>
      </w:divsChild>
    </w:div>
    <w:div w:id="624701540">
      <w:bodyDiv w:val="1"/>
      <w:marLeft w:val="0"/>
      <w:marRight w:val="0"/>
      <w:marTop w:val="0"/>
      <w:marBottom w:val="0"/>
      <w:divBdr>
        <w:top w:val="none" w:sz="0" w:space="0" w:color="auto"/>
        <w:left w:val="none" w:sz="0" w:space="0" w:color="auto"/>
        <w:bottom w:val="none" w:sz="0" w:space="0" w:color="auto"/>
        <w:right w:val="none" w:sz="0" w:space="0" w:color="auto"/>
      </w:divBdr>
      <w:divsChild>
        <w:div w:id="333385707">
          <w:marLeft w:val="274"/>
          <w:marRight w:val="0"/>
          <w:marTop w:val="120"/>
          <w:marBottom w:val="0"/>
          <w:divBdr>
            <w:top w:val="none" w:sz="0" w:space="0" w:color="auto"/>
            <w:left w:val="none" w:sz="0" w:space="0" w:color="auto"/>
            <w:bottom w:val="none" w:sz="0" w:space="0" w:color="auto"/>
            <w:right w:val="none" w:sz="0" w:space="0" w:color="auto"/>
          </w:divBdr>
        </w:div>
      </w:divsChild>
    </w:div>
    <w:div w:id="899940681">
      <w:bodyDiv w:val="1"/>
      <w:marLeft w:val="0"/>
      <w:marRight w:val="0"/>
      <w:marTop w:val="0"/>
      <w:marBottom w:val="0"/>
      <w:divBdr>
        <w:top w:val="none" w:sz="0" w:space="0" w:color="auto"/>
        <w:left w:val="none" w:sz="0" w:space="0" w:color="auto"/>
        <w:bottom w:val="none" w:sz="0" w:space="0" w:color="auto"/>
        <w:right w:val="none" w:sz="0" w:space="0" w:color="auto"/>
      </w:divBdr>
      <w:divsChild>
        <w:div w:id="1347172239">
          <w:marLeft w:val="533"/>
          <w:marRight w:val="0"/>
          <w:marTop w:val="0"/>
          <w:marBottom w:val="0"/>
          <w:divBdr>
            <w:top w:val="none" w:sz="0" w:space="0" w:color="auto"/>
            <w:left w:val="none" w:sz="0" w:space="0" w:color="auto"/>
            <w:bottom w:val="none" w:sz="0" w:space="0" w:color="auto"/>
            <w:right w:val="none" w:sz="0" w:space="0" w:color="auto"/>
          </w:divBdr>
        </w:div>
        <w:div w:id="1578591940">
          <w:marLeft w:val="533"/>
          <w:marRight w:val="0"/>
          <w:marTop w:val="0"/>
          <w:marBottom w:val="0"/>
          <w:divBdr>
            <w:top w:val="none" w:sz="0" w:space="0" w:color="auto"/>
            <w:left w:val="none" w:sz="0" w:space="0" w:color="auto"/>
            <w:bottom w:val="none" w:sz="0" w:space="0" w:color="auto"/>
            <w:right w:val="none" w:sz="0" w:space="0" w:color="auto"/>
          </w:divBdr>
        </w:div>
        <w:div w:id="1589970884">
          <w:marLeft w:val="533"/>
          <w:marRight w:val="0"/>
          <w:marTop w:val="0"/>
          <w:marBottom w:val="0"/>
          <w:divBdr>
            <w:top w:val="none" w:sz="0" w:space="0" w:color="auto"/>
            <w:left w:val="none" w:sz="0" w:space="0" w:color="auto"/>
            <w:bottom w:val="none" w:sz="0" w:space="0" w:color="auto"/>
            <w:right w:val="none" w:sz="0" w:space="0" w:color="auto"/>
          </w:divBdr>
        </w:div>
        <w:div w:id="221216192">
          <w:marLeft w:val="533"/>
          <w:marRight w:val="0"/>
          <w:marTop w:val="0"/>
          <w:marBottom w:val="0"/>
          <w:divBdr>
            <w:top w:val="none" w:sz="0" w:space="0" w:color="auto"/>
            <w:left w:val="none" w:sz="0" w:space="0" w:color="auto"/>
            <w:bottom w:val="none" w:sz="0" w:space="0" w:color="auto"/>
            <w:right w:val="none" w:sz="0" w:space="0" w:color="auto"/>
          </w:divBdr>
        </w:div>
        <w:div w:id="242842067">
          <w:marLeft w:val="533"/>
          <w:marRight w:val="0"/>
          <w:marTop w:val="0"/>
          <w:marBottom w:val="0"/>
          <w:divBdr>
            <w:top w:val="none" w:sz="0" w:space="0" w:color="auto"/>
            <w:left w:val="none" w:sz="0" w:space="0" w:color="auto"/>
            <w:bottom w:val="none" w:sz="0" w:space="0" w:color="auto"/>
            <w:right w:val="none" w:sz="0" w:space="0" w:color="auto"/>
          </w:divBdr>
        </w:div>
      </w:divsChild>
    </w:div>
    <w:div w:id="1237669650">
      <w:bodyDiv w:val="1"/>
      <w:marLeft w:val="0"/>
      <w:marRight w:val="0"/>
      <w:marTop w:val="0"/>
      <w:marBottom w:val="0"/>
      <w:divBdr>
        <w:top w:val="none" w:sz="0" w:space="0" w:color="auto"/>
        <w:left w:val="none" w:sz="0" w:space="0" w:color="auto"/>
        <w:bottom w:val="none" w:sz="0" w:space="0" w:color="auto"/>
        <w:right w:val="none" w:sz="0" w:space="0" w:color="auto"/>
      </w:divBdr>
      <w:divsChild>
        <w:div w:id="1003164628">
          <w:marLeft w:val="274"/>
          <w:marRight w:val="0"/>
          <w:marTop w:val="120"/>
          <w:marBottom w:val="0"/>
          <w:divBdr>
            <w:top w:val="none" w:sz="0" w:space="0" w:color="auto"/>
            <w:left w:val="none" w:sz="0" w:space="0" w:color="auto"/>
            <w:bottom w:val="none" w:sz="0" w:space="0" w:color="auto"/>
            <w:right w:val="none" w:sz="0" w:space="0" w:color="auto"/>
          </w:divBdr>
        </w:div>
      </w:divsChild>
    </w:div>
    <w:div w:id="1264269288">
      <w:bodyDiv w:val="1"/>
      <w:marLeft w:val="0"/>
      <w:marRight w:val="0"/>
      <w:marTop w:val="0"/>
      <w:marBottom w:val="0"/>
      <w:divBdr>
        <w:top w:val="none" w:sz="0" w:space="0" w:color="auto"/>
        <w:left w:val="none" w:sz="0" w:space="0" w:color="auto"/>
        <w:bottom w:val="none" w:sz="0" w:space="0" w:color="auto"/>
        <w:right w:val="none" w:sz="0" w:space="0" w:color="auto"/>
      </w:divBdr>
      <w:divsChild>
        <w:div w:id="724909881">
          <w:marLeft w:val="274"/>
          <w:marRight w:val="0"/>
          <w:marTop w:val="240"/>
          <w:marBottom w:val="0"/>
          <w:divBdr>
            <w:top w:val="none" w:sz="0" w:space="0" w:color="auto"/>
            <w:left w:val="none" w:sz="0" w:space="0" w:color="auto"/>
            <w:bottom w:val="none" w:sz="0" w:space="0" w:color="auto"/>
            <w:right w:val="none" w:sz="0" w:space="0" w:color="auto"/>
          </w:divBdr>
        </w:div>
        <w:div w:id="1761179047">
          <w:marLeft w:val="533"/>
          <w:marRight w:val="0"/>
          <w:marTop w:val="0"/>
          <w:marBottom w:val="0"/>
          <w:divBdr>
            <w:top w:val="none" w:sz="0" w:space="0" w:color="auto"/>
            <w:left w:val="none" w:sz="0" w:space="0" w:color="auto"/>
            <w:bottom w:val="none" w:sz="0" w:space="0" w:color="auto"/>
            <w:right w:val="none" w:sz="0" w:space="0" w:color="auto"/>
          </w:divBdr>
        </w:div>
        <w:div w:id="787165084">
          <w:marLeft w:val="533"/>
          <w:marRight w:val="0"/>
          <w:marTop w:val="0"/>
          <w:marBottom w:val="0"/>
          <w:divBdr>
            <w:top w:val="none" w:sz="0" w:space="0" w:color="auto"/>
            <w:left w:val="none" w:sz="0" w:space="0" w:color="auto"/>
            <w:bottom w:val="none" w:sz="0" w:space="0" w:color="auto"/>
            <w:right w:val="none" w:sz="0" w:space="0" w:color="auto"/>
          </w:divBdr>
        </w:div>
        <w:div w:id="524172029">
          <w:marLeft w:val="533"/>
          <w:marRight w:val="0"/>
          <w:marTop w:val="0"/>
          <w:marBottom w:val="0"/>
          <w:divBdr>
            <w:top w:val="none" w:sz="0" w:space="0" w:color="auto"/>
            <w:left w:val="none" w:sz="0" w:space="0" w:color="auto"/>
            <w:bottom w:val="none" w:sz="0" w:space="0" w:color="auto"/>
            <w:right w:val="none" w:sz="0" w:space="0" w:color="auto"/>
          </w:divBdr>
        </w:div>
        <w:div w:id="2046439873">
          <w:marLeft w:val="533"/>
          <w:marRight w:val="0"/>
          <w:marTop w:val="0"/>
          <w:marBottom w:val="0"/>
          <w:divBdr>
            <w:top w:val="none" w:sz="0" w:space="0" w:color="auto"/>
            <w:left w:val="none" w:sz="0" w:space="0" w:color="auto"/>
            <w:bottom w:val="none" w:sz="0" w:space="0" w:color="auto"/>
            <w:right w:val="none" w:sz="0" w:space="0" w:color="auto"/>
          </w:divBdr>
        </w:div>
      </w:divsChild>
    </w:div>
    <w:div w:id="1374426359">
      <w:bodyDiv w:val="1"/>
      <w:marLeft w:val="0"/>
      <w:marRight w:val="0"/>
      <w:marTop w:val="0"/>
      <w:marBottom w:val="0"/>
      <w:divBdr>
        <w:top w:val="none" w:sz="0" w:space="0" w:color="auto"/>
        <w:left w:val="none" w:sz="0" w:space="0" w:color="auto"/>
        <w:bottom w:val="none" w:sz="0" w:space="0" w:color="auto"/>
        <w:right w:val="none" w:sz="0" w:space="0" w:color="auto"/>
      </w:divBdr>
      <w:divsChild>
        <w:div w:id="717097109">
          <w:marLeft w:val="0"/>
          <w:marRight w:val="0"/>
          <w:marTop w:val="0"/>
          <w:marBottom w:val="0"/>
          <w:divBdr>
            <w:top w:val="none" w:sz="0" w:space="0" w:color="auto"/>
            <w:left w:val="none" w:sz="0" w:space="0" w:color="auto"/>
            <w:bottom w:val="none" w:sz="0" w:space="0" w:color="auto"/>
            <w:right w:val="none" w:sz="0" w:space="0" w:color="auto"/>
          </w:divBdr>
        </w:div>
      </w:divsChild>
    </w:div>
    <w:div w:id="1847209026">
      <w:bodyDiv w:val="1"/>
      <w:marLeft w:val="0"/>
      <w:marRight w:val="0"/>
      <w:marTop w:val="0"/>
      <w:marBottom w:val="0"/>
      <w:divBdr>
        <w:top w:val="none" w:sz="0" w:space="0" w:color="auto"/>
        <w:left w:val="none" w:sz="0" w:space="0" w:color="auto"/>
        <w:bottom w:val="none" w:sz="0" w:space="0" w:color="auto"/>
        <w:right w:val="none" w:sz="0" w:space="0" w:color="auto"/>
      </w:divBdr>
      <w:divsChild>
        <w:div w:id="1712531288">
          <w:marLeft w:val="274"/>
          <w:marRight w:val="0"/>
          <w:marTop w:val="240"/>
          <w:marBottom w:val="0"/>
          <w:divBdr>
            <w:top w:val="none" w:sz="0" w:space="0" w:color="auto"/>
            <w:left w:val="none" w:sz="0" w:space="0" w:color="auto"/>
            <w:bottom w:val="none" w:sz="0" w:space="0" w:color="auto"/>
            <w:right w:val="none" w:sz="0" w:space="0" w:color="auto"/>
          </w:divBdr>
        </w:div>
        <w:div w:id="501747481">
          <w:marLeft w:val="533"/>
          <w:marRight w:val="0"/>
          <w:marTop w:val="0"/>
          <w:marBottom w:val="0"/>
          <w:divBdr>
            <w:top w:val="none" w:sz="0" w:space="0" w:color="auto"/>
            <w:left w:val="none" w:sz="0" w:space="0" w:color="auto"/>
            <w:bottom w:val="none" w:sz="0" w:space="0" w:color="auto"/>
            <w:right w:val="none" w:sz="0" w:space="0" w:color="auto"/>
          </w:divBdr>
        </w:div>
        <w:div w:id="2041123834">
          <w:marLeft w:val="533"/>
          <w:marRight w:val="0"/>
          <w:marTop w:val="0"/>
          <w:marBottom w:val="0"/>
          <w:divBdr>
            <w:top w:val="none" w:sz="0" w:space="0" w:color="auto"/>
            <w:left w:val="none" w:sz="0" w:space="0" w:color="auto"/>
            <w:bottom w:val="none" w:sz="0" w:space="0" w:color="auto"/>
            <w:right w:val="none" w:sz="0" w:space="0" w:color="auto"/>
          </w:divBdr>
        </w:div>
        <w:div w:id="1959947282">
          <w:marLeft w:val="274"/>
          <w:marRight w:val="0"/>
          <w:marTop w:val="240"/>
          <w:marBottom w:val="0"/>
          <w:divBdr>
            <w:top w:val="none" w:sz="0" w:space="0" w:color="auto"/>
            <w:left w:val="none" w:sz="0" w:space="0" w:color="auto"/>
            <w:bottom w:val="none" w:sz="0" w:space="0" w:color="auto"/>
            <w:right w:val="none" w:sz="0" w:space="0" w:color="auto"/>
          </w:divBdr>
        </w:div>
        <w:div w:id="1991908664">
          <w:marLeft w:val="533"/>
          <w:marRight w:val="0"/>
          <w:marTop w:val="0"/>
          <w:marBottom w:val="0"/>
          <w:divBdr>
            <w:top w:val="none" w:sz="0" w:space="0" w:color="auto"/>
            <w:left w:val="none" w:sz="0" w:space="0" w:color="auto"/>
            <w:bottom w:val="none" w:sz="0" w:space="0" w:color="auto"/>
            <w:right w:val="none" w:sz="0" w:space="0" w:color="auto"/>
          </w:divBdr>
        </w:div>
        <w:div w:id="136654762">
          <w:marLeft w:val="533"/>
          <w:marRight w:val="0"/>
          <w:marTop w:val="0"/>
          <w:marBottom w:val="0"/>
          <w:divBdr>
            <w:top w:val="none" w:sz="0" w:space="0" w:color="auto"/>
            <w:left w:val="none" w:sz="0" w:space="0" w:color="auto"/>
            <w:bottom w:val="none" w:sz="0" w:space="0" w:color="auto"/>
            <w:right w:val="none" w:sz="0" w:space="0" w:color="auto"/>
          </w:divBdr>
        </w:div>
        <w:div w:id="1522403198">
          <w:marLeft w:val="533"/>
          <w:marRight w:val="0"/>
          <w:marTop w:val="0"/>
          <w:marBottom w:val="0"/>
          <w:divBdr>
            <w:top w:val="none" w:sz="0" w:space="0" w:color="auto"/>
            <w:left w:val="none" w:sz="0" w:space="0" w:color="auto"/>
            <w:bottom w:val="none" w:sz="0" w:space="0" w:color="auto"/>
            <w:right w:val="none" w:sz="0" w:space="0" w:color="auto"/>
          </w:divBdr>
        </w:div>
      </w:divsChild>
    </w:div>
    <w:div w:id="1857890469">
      <w:bodyDiv w:val="1"/>
      <w:marLeft w:val="0"/>
      <w:marRight w:val="0"/>
      <w:marTop w:val="0"/>
      <w:marBottom w:val="0"/>
      <w:divBdr>
        <w:top w:val="none" w:sz="0" w:space="0" w:color="auto"/>
        <w:left w:val="none" w:sz="0" w:space="0" w:color="auto"/>
        <w:bottom w:val="none" w:sz="0" w:space="0" w:color="auto"/>
        <w:right w:val="none" w:sz="0" w:space="0" w:color="auto"/>
      </w:divBdr>
      <w:divsChild>
        <w:div w:id="1493790921">
          <w:marLeft w:val="0"/>
          <w:marRight w:val="0"/>
          <w:marTop w:val="0"/>
          <w:marBottom w:val="0"/>
          <w:divBdr>
            <w:top w:val="none" w:sz="0" w:space="0" w:color="auto"/>
            <w:left w:val="none" w:sz="0" w:space="0" w:color="auto"/>
            <w:bottom w:val="none" w:sz="0" w:space="0" w:color="auto"/>
            <w:right w:val="none" w:sz="0" w:space="0" w:color="auto"/>
          </w:divBdr>
        </w:div>
      </w:divsChild>
    </w:div>
    <w:div w:id="1921939037">
      <w:bodyDiv w:val="1"/>
      <w:marLeft w:val="0"/>
      <w:marRight w:val="0"/>
      <w:marTop w:val="0"/>
      <w:marBottom w:val="0"/>
      <w:divBdr>
        <w:top w:val="none" w:sz="0" w:space="0" w:color="auto"/>
        <w:left w:val="none" w:sz="0" w:space="0" w:color="auto"/>
        <w:bottom w:val="none" w:sz="0" w:space="0" w:color="auto"/>
        <w:right w:val="none" w:sz="0" w:space="0" w:color="auto"/>
      </w:divBdr>
      <w:divsChild>
        <w:div w:id="446125877">
          <w:marLeft w:val="274"/>
          <w:marRight w:val="0"/>
          <w:marTop w:val="240"/>
          <w:marBottom w:val="0"/>
          <w:divBdr>
            <w:top w:val="none" w:sz="0" w:space="0" w:color="auto"/>
            <w:left w:val="none" w:sz="0" w:space="0" w:color="auto"/>
            <w:bottom w:val="none" w:sz="0" w:space="0" w:color="auto"/>
            <w:right w:val="none" w:sz="0" w:space="0" w:color="auto"/>
          </w:divBdr>
        </w:div>
        <w:div w:id="1211453904">
          <w:marLeft w:val="533"/>
          <w:marRight w:val="0"/>
          <w:marTop w:val="0"/>
          <w:marBottom w:val="0"/>
          <w:divBdr>
            <w:top w:val="none" w:sz="0" w:space="0" w:color="auto"/>
            <w:left w:val="none" w:sz="0" w:space="0" w:color="auto"/>
            <w:bottom w:val="none" w:sz="0" w:space="0" w:color="auto"/>
            <w:right w:val="none" w:sz="0" w:space="0" w:color="auto"/>
          </w:divBdr>
        </w:div>
        <w:div w:id="1042249044">
          <w:marLeft w:val="533"/>
          <w:marRight w:val="0"/>
          <w:marTop w:val="0"/>
          <w:marBottom w:val="0"/>
          <w:divBdr>
            <w:top w:val="none" w:sz="0" w:space="0" w:color="auto"/>
            <w:left w:val="none" w:sz="0" w:space="0" w:color="auto"/>
            <w:bottom w:val="none" w:sz="0" w:space="0" w:color="auto"/>
            <w:right w:val="none" w:sz="0" w:space="0" w:color="auto"/>
          </w:divBdr>
        </w:div>
        <w:div w:id="197042995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1B8DF-BD40-4436-8102-3F67AB8B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12457</TotalTime>
  <Pages>12</Pages>
  <Words>4950</Words>
  <Characters>28216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703</cp:revision>
  <cp:lastPrinted>1900-01-01T05:00:00Z</cp:lastPrinted>
  <dcterms:created xsi:type="dcterms:W3CDTF">2019-08-14T14:40:00Z</dcterms:created>
  <dcterms:modified xsi:type="dcterms:W3CDTF">2021-08-06T23:16:00Z</dcterms:modified>
</cp:coreProperties>
</file>